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F1110" w14:textId="0DDC51BD" w:rsidR="0009182D" w:rsidRPr="005468FB" w:rsidRDefault="0009182D" w:rsidP="0009182D">
      <w:pPr>
        <w:jc w:val="right"/>
        <w:rPr>
          <w:rFonts w:asciiTheme="minorHAnsi" w:hAnsiTheme="minorHAnsi"/>
        </w:rPr>
      </w:pPr>
      <w:r w:rsidRPr="005468FB">
        <w:rPr>
          <w:rFonts w:asciiTheme="minorHAnsi" w:hAnsiTheme="minorHAnsi"/>
          <w:noProof/>
        </w:rPr>
        <w:drawing>
          <wp:inline distT="0" distB="0" distL="0" distR="0" wp14:anchorId="583867BF" wp14:editId="06F0EB0C">
            <wp:extent cx="1257300" cy="3175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stretch>
                      <a:fillRect/>
                    </a:stretch>
                  </pic:blipFill>
                  <pic:spPr>
                    <a:xfrm>
                      <a:off x="0" y="0"/>
                      <a:ext cx="1257300" cy="317500"/>
                    </a:xfrm>
                    <a:prstGeom prst="rect">
                      <a:avLst/>
                    </a:prstGeom>
                  </pic:spPr>
                </pic:pic>
              </a:graphicData>
            </a:graphic>
          </wp:inline>
        </w:drawing>
      </w:r>
    </w:p>
    <w:p w14:paraId="5292A735" w14:textId="71D5BD38" w:rsidR="0009182D" w:rsidRPr="005468FB" w:rsidRDefault="00423EA4">
      <w:pPr>
        <w:rPr>
          <w:rFonts w:asciiTheme="minorHAnsi" w:hAnsiTheme="minorHAnsi"/>
          <w:sz w:val="28"/>
          <w:szCs w:val="28"/>
        </w:rPr>
      </w:pPr>
      <w:r w:rsidRPr="005468FB">
        <w:rPr>
          <w:rFonts w:asciiTheme="minorHAnsi" w:hAnsiTheme="minorHAnsi"/>
          <w:b/>
          <w:bCs/>
          <w:sz w:val="28"/>
          <w:szCs w:val="28"/>
        </w:rPr>
        <w:t>Myelography</w:t>
      </w:r>
      <w:r w:rsidR="0009182D" w:rsidRPr="005468FB">
        <w:rPr>
          <w:rFonts w:asciiTheme="minorHAnsi" w:hAnsiTheme="minorHAnsi"/>
          <w:b/>
          <w:bCs/>
          <w:sz w:val="28"/>
          <w:szCs w:val="28"/>
        </w:rPr>
        <w:t xml:space="preserve"> Guidelines</w:t>
      </w:r>
    </w:p>
    <w:p w14:paraId="617C9986" w14:textId="5F258DEB" w:rsidR="0009182D" w:rsidRPr="005468FB" w:rsidRDefault="0009182D">
      <w:pPr>
        <w:rPr>
          <w:rFonts w:asciiTheme="minorHAnsi" w:hAnsiTheme="minorHAnsi"/>
        </w:rPr>
      </w:pPr>
      <w:r w:rsidRPr="005468FB">
        <w:rPr>
          <w:rFonts w:asciiTheme="minorHAnsi" w:hAnsiTheme="minorHAnsi"/>
        </w:rPr>
        <w:t>Revised: January 2021</w:t>
      </w:r>
    </w:p>
    <w:p w14:paraId="3EC25F44" w14:textId="41CD86F3" w:rsidR="0009182D" w:rsidRPr="005468FB" w:rsidRDefault="0009182D">
      <w:pPr>
        <w:rPr>
          <w:rFonts w:asciiTheme="minorHAnsi" w:hAnsiTheme="minorHAnsi"/>
        </w:rPr>
      </w:pPr>
    </w:p>
    <w:p w14:paraId="1E229E0E" w14:textId="3EF38A51" w:rsidR="006C7C85" w:rsidRDefault="0009182D">
      <w:pPr>
        <w:rPr>
          <w:rFonts w:asciiTheme="minorHAnsi" w:hAnsiTheme="minorHAnsi"/>
          <w:sz w:val="28"/>
          <w:szCs w:val="28"/>
        </w:rPr>
      </w:pPr>
      <w:r w:rsidRPr="005468FB">
        <w:rPr>
          <w:rFonts w:asciiTheme="minorHAnsi" w:hAnsiTheme="minorHAnsi"/>
          <w:sz w:val="28"/>
          <w:szCs w:val="28"/>
        </w:rPr>
        <w:t>Objective</w:t>
      </w:r>
    </w:p>
    <w:p w14:paraId="200E1274" w14:textId="77777777" w:rsidR="00AD4969" w:rsidRPr="005468FB" w:rsidRDefault="00AD4969">
      <w:pPr>
        <w:rPr>
          <w:rFonts w:asciiTheme="minorHAnsi" w:hAnsiTheme="minorHAnsi"/>
          <w:sz w:val="28"/>
          <w:szCs w:val="28"/>
        </w:rPr>
      </w:pPr>
    </w:p>
    <w:p w14:paraId="5B04AF08" w14:textId="77777777" w:rsidR="006C7C85" w:rsidRPr="005468FB" w:rsidRDefault="0009182D">
      <w:pPr>
        <w:rPr>
          <w:rFonts w:asciiTheme="minorHAnsi" w:hAnsiTheme="minorHAnsi" w:cstheme="minorHAnsi"/>
        </w:rPr>
      </w:pPr>
      <w:r w:rsidRPr="005468FB">
        <w:rPr>
          <w:rFonts w:asciiTheme="minorHAnsi" w:hAnsiTheme="minorHAnsi"/>
        </w:rPr>
        <w:t xml:space="preserve">To </w:t>
      </w:r>
      <w:r w:rsidRPr="005468FB">
        <w:rPr>
          <w:rFonts w:asciiTheme="minorHAnsi" w:hAnsiTheme="minorHAnsi" w:cstheme="minorHAnsi"/>
        </w:rPr>
        <w:t xml:space="preserve">standardize guidelines and provide information to technologists, patients, and staff on the risk and benefits of intrathecal contrast administration. </w:t>
      </w:r>
    </w:p>
    <w:p w14:paraId="042E1112" w14:textId="77777777" w:rsidR="006C7C85" w:rsidRPr="005468FB" w:rsidRDefault="006C7C85">
      <w:pPr>
        <w:rPr>
          <w:rFonts w:asciiTheme="minorHAnsi" w:hAnsiTheme="minorHAnsi" w:cstheme="minorHAnsi"/>
        </w:rPr>
      </w:pPr>
    </w:p>
    <w:p w14:paraId="6C4DF4BF" w14:textId="68D6D6D6" w:rsidR="0009182D" w:rsidRPr="005468FB" w:rsidRDefault="0009182D" w:rsidP="006C7C85">
      <w:pPr>
        <w:pStyle w:val="Default"/>
        <w:rPr>
          <w:rFonts w:asciiTheme="minorHAnsi" w:hAnsiTheme="minorHAnsi" w:cstheme="minorHAnsi"/>
        </w:rPr>
      </w:pPr>
      <w:r w:rsidRPr="005468FB">
        <w:rPr>
          <w:rFonts w:asciiTheme="minorHAnsi" w:hAnsiTheme="minorHAnsi" w:cstheme="minorHAnsi"/>
        </w:rPr>
        <w:t>These guidelines are general recommendations but not strict p</w:t>
      </w:r>
      <w:r w:rsidR="00E64546">
        <w:rPr>
          <w:rFonts w:asciiTheme="minorHAnsi" w:hAnsiTheme="minorHAnsi" w:cstheme="minorHAnsi"/>
        </w:rPr>
        <w:t>olicy</w:t>
      </w:r>
      <w:r w:rsidRPr="005468FB">
        <w:rPr>
          <w:rFonts w:asciiTheme="minorHAnsi" w:hAnsiTheme="minorHAnsi" w:cstheme="minorHAnsi"/>
        </w:rPr>
        <w:t xml:space="preserve">. Treating physicians </w:t>
      </w:r>
      <w:r w:rsidR="006C7C85" w:rsidRPr="005468FB">
        <w:rPr>
          <w:rFonts w:asciiTheme="minorHAnsi" w:hAnsiTheme="minorHAnsi" w:cstheme="minorHAnsi"/>
        </w:rPr>
        <w:t xml:space="preserve">may request different preparation, procedure, and post-procedure care based </w:t>
      </w:r>
      <w:r w:rsidR="00E64546">
        <w:rPr>
          <w:rFonts w:asciiTheme="minorHAnsi" w:hAnsiTheme="minorHAnsi" w:cstheme="minorHAnsi"/>
        </w:rPr>
        <w:t>on</w:t>
      </w:r>
      <w:r w:rsidR="006C7C85" w:rsidRPr="005468FB">
        <w:rPr>
          <w:rFonts w:asciiTheme="minorHAnsi" w:hAnsiTheme="minorHAnsi" w:cstheme="minorHAnsi"/>
        </w:rPr>
        <w:t xml:space="preserve"> their clinical judgment as deemed appropriate. An approach that differs from the guidance in this document, standing alone, does not necessarily imply that the approach was below the standard of care. To the contrary, a conscientious practitioner may responsibly adopt a course of action different from that set forth in this document when, in the reasonable judgment of the practitioner, such course of action is indicated by the condition of the patient, limitations of available resources, or advances in knowledge or technology subsequent to publication of this document. However, a practitioner who employs an approach substantially different from the guidance in this document is advised to document in the patient record information sufficient to explain the approach taken.</w:t>
      </w:r>
    </w:p>
    <w:p w14:paraId="2731DCE2" w14:textId="77777777" w:rsidR="00AD4969" w:rsidRDefault="00AD4969">
      <w:pPr>
        <w:rPr>
          <w:rFonts w:asciiTheme="minorHAnsi" w:hAnsiTheme="minorHAnsi"/>
        </w:rPr>
      </w:pPr>
    </w:p>
    <w:p w14:paraId="03D3406F" w14:textId="77777777" w:rsidR="005468FB" w:rsidRPr="005468FB" w:rsidRDefault="005468FB">
      <w:pPr>
        <w:rPr>
          <w:rFonts w:asciiTheme="minorHAnsi" w:hAnsiTheme="minorHAnsi"/>
        </w:rPr>
      </w:pPr>
    </w:p>
    <w:p w14:paraId="046CEBC5" w14:textId="67AC0388" w:rsidR="006C7C85" w:rsidRPr="005468FB" w:rsidRDefault="006C7C85" w:rsidP="006C7C85">
      <w:pPr>
        <w:rPr>
          <w:rFonts w:asciiTheme="minorHAnsi" w:hAnsiTheme="minorHAnsi"/>
          <w:sz w:val="28"/>
          <w:szCs w:val="28"/>
        </w:rPr>
      </w:pPr>
      <w:r w:rsidRPr="005468FB">
        <w:rPr>
          <w:rFonts w:asciiTheme="minorHAnsi" w:hAnsiTheme="minorHAnsi"/>
          <w:sz w:val="28"/>
          <w:szCs w:val="28"/>
        </w:rPr>
        <w:t>Appropriate</w:t>
      </w:r>
      <w:r w:rsidR="000C15F2" w:rsidRPr="005468FB">
        <w:rPr>
          <w:rFonts w:asciiTheme="minorHAnsi" w:hAnsiTheme="minorHAnsi"/>
          <w:sz w:val="28"/>
          <w:szCs w:val="28"/>
        </w:rPr>
        <w:t xml:space="preserve"> Indications for Myelography</w:t>
      </w:r>
      <w:r w:rsidR="000C15F2" w:rsidRPr="005468FB">
        <w:rPr>
          <w:rFonts w:asciiTheme="minorHAnsi" w:hAnsiTheme="minorHAnsi"/>
          <w:sz w:val="28"/>
          <w:szCs w:val="28"/>
          <w:vertAlign w:val="superscript"/>
        </w:rPr>
        <w:t>1</w:t>
      </w:r>
    </w:p>
    <w:p w14:paraId="4DBDBD54" w14:textId="77777777" w:rsidR="006C7C85" w:rsidRPr="005468FB" w:rsidRDefault="006C7C85" w:rsidP="006C7C85">
      <w:pPr>
        <w:rPr>
          <w:rFonts w:asciiTheme="minorHAnsi" w:hAnsiTheme="minorHAnsi"/>
        </w:rPr>
      </w:pPr>
    </w:p>
    <w:p w14:paraId="2E5A58E5" w14:textId="52CD5B3C" w:rsidR="006C7C85" w:rsidRPr="005468FB" w:rsidRDefault="000C15F2" w:rsidP="006C7C85">
      <w:pPr>
        <w:pStyle w:val="ListParagraph"/>
        <w:numPr>
          <w:ilvl w:val="0"/>
          <w:numId w:val="1"/>
        </w:numPr>
        <w:rPr>
          <w:rFonts w:asciiTheme="minorHAnsi" w:hAnsiTheme="minorHAnsi"/>
        </w:rPr>
      </w:pPr>
      <w:r w:rsidRPr="005468FB">
        <w:rPr>
          <w:rFonts w:asciiTheme="minorHAnsi" w:hAnsiTheme="minorHAnsi"/>
        </w:rPr>
        <w:t>Demonstration of cerebrospinal fluid leak or intracranial hypotension</w:t>
      </w:r>
    </w:p>
    <w:p w14:paraId="52587A55" w14:textId="3F57CBA2" w:rsidR="000C15F2" w:rsidRPr="00544AD8" w:rsidRDefault="000C15F2" w:rsidP="00544AD8">
      <w:pPr>
        <w:pStyle w:val="ListParagraph"/>
        <w:numPr>
          <w:ilvl w:val="0"/>
          <w:numId w:val="1"/>
        </w:numPr>
        <w:rPr>
          <w:rFonts w:asciiTheme="minorHAnsi" w:hAnsiTheme="minorHAnsi"/>
        </w:rPr>
      </w:pPr>
      <w:r w:rsidRPr="005468FB">
        <w:rPr>
          <w:rFonts w:asciiTheme="minorHAnsi" w:hAnsiTheme="minorHAnsi"/>
        </w:rPr>
        <w:t>Evaluation of intraspinal arachnoid webs or cysts</w:t>
      </w:r>
      <w:bookmarkStart w:id="0" w:name="_GoBack"/>
      <w:bookmarkEnd w:id="0"/>
    </w:p>
    <w:p w14:paraId="3F01244E" w14:textId="64E38F13" w:rsidR="000C15F2" w:rsidRPr="005468FB" w:rsidRDefault="000C15F2" w:rsidP="006C7C85">
      <w:pPr>
        <w:pStyle w:val="ListParagraph"/>
        <w:numPr>
          <w:ilvl w:val="0"/>
          <w:numId w:val="1"/>
        </w:numPr>
        <w:rPr>
          <w:rFonts w:asciiTheme="minorHAnsi" w:hAnsiTheme="minorHAnsi"/>
        </w:rPr>
      </w:pPr>
      <w:r w:rsidRPr="005468FB">
        <w:rPr>
          <w:rFonts w:asciiTheme="minorHAnsi" w:hAnsiTheme="minorHAnsi"/>
        </w:rPr>
        <w:t>Radiation therapy planning</w:t>
      </w:r>
    </w:p>
    <w:p w14:paraId="08F4C48A" w14:textId="0575514C" w:rsidR="000C15F2" w:rsidRPr="005468FB" w:rsidRDefault="000C15F2" w:rsidP="006C7C85">
      <w:pPr>
        <w:pStyle w:val="ListParagraph"/>
        <w:numPr>
          <w:ilvl w:val="0"/>
          <w:numId w:val="1"/>
        </w:numPr>
        <w:rPr>
          <w:rFonts w:asciiTheme="minorHAnsi" w:hAnsiTheme="minorHAnsi"/>
        </w:rPr>
      </w:pPr>
      <w:r w:rsidRPr="005468FB">
        <w:rPr>
          <w:rFonts w:asciiTheme="minorHAnsi" w:hAnsiTheme="minorHAnsi"/>
        </w:rPr>
        <w:t>Non-diagnostic MR examination of the brain or spine</w:t>
      </w:r>
    </w:p>
    <w:p w14:paraId="2822AAF6" w14:textId="4834C8BD" w:rsidR="000C15F2" w:rsidRPr="005468FB" w:rsidRDefault="000C15F2" w:rsidP="006C7C85">
      <w:pPr>
        <w:pStyle w:val="ListParagraph"/>
        <w:numPr>
          <w:ilvl w:val="0"/>
          <w:numId w:val="1"/>
        </w:numPr>
        <w:rPr>
          <w:rFonts w:asciiTheme="minorHAnsi" w:hAnsiTheme="minorHAnsi"/>
        </w:rPr>
      </w:pPr>
      <w:r w:rsidRPr="005468FB">
        <w:rPr>
          <w:rFonts w:asciiTheme="minorHAnsi" w:hAnsiTheme="minorHAnsi"/>
        </w:rPr>
        <w:t>Inability to perform MR safely because of surgical implant or bio-prosthesis, claustrophobia, or technical considerations such as large patient size</w:t>
      </w:r>
    </w:p>
    <w:p w14:paraId="5D743061" w14:textId="143B9E5D" w:rsidR="00CF6EF8" w:rsidRPr="006D18EA" w:rsidRDefault="000C15F2" w:rsidP="006D18EA">
      <w:pPr>
        <w:pStyle w:val="ListParagraph"/>
        <w:numPr>
          <w:ilvl w:val="0"/>
          <w:numId w:val="1"/>
        </w:numPr>
        <w:rPr>
          <w:rFonts w:asciiTheme="minorHAnsi" w:hAnsiTheme="minorHAnsi"/>
        </w:rPr>
      </w:pPr>
      <w:r w:rsidRPr="005468FB">
        <w:rPr>
          <w:rFonts w:asciiTheme="minorHAnsi" w:hAnsiTheme="minorHAnsi"/>
        </w:rPr>
        <w:t>Insufficient diagnostic value of MR (</w:t>
      </w:r>
      <w:r w:rsidRPr="005468FB">
        <w:rPr>
          <w:rFonts w:asciiTheme="minorHAnsi" w:hAnsiTheme="minorHAnsi"/>
          <w:i/>
          <w:iCs/>
        </w:rPr>
        <w:t>e.g.</w:t>
      </w:r>
      <w:r w:rsidRPr="005468FB">
        <w:rPr>
          <w:rFonts w:asciiTheme="minorHAnsi" w:hAnsiTheme="minorHAnsi"/>
        </w:rPr>
        <w:t xml:space="preserve"> artifact from surgical hardware)</w:t>
      </w:r>
    </w:p>
    <w:p w14:paraId="35E4186A" w14:textId="56E6BB7D" w:rsidR="006D18EA" w:rsidRDefault="006D18EA">
      <w:pPr>
        <w:rPr>
          <w:rFonts w:asciiTheme="minorHAnsi" w:hAnsiTheme="minorHAnsi"/>
        </w:rPr>
      </w:pPr>
    </w:p>
    <w:p w14:paraId="14ED8529" w14:textId="77777777" w:rsidR="00324670" w:rsidRDefault="00324670" w:rsidP="00324670">
      <w:pPr>
        <w:rPr>
          <w:rFonts w:asciiTheme="minorHAnsi" w:hAnsiTheme="minorHAnsi"/>
          <w:sz w:val="28"/>
          <w:szCs w:val="28"/>
        </w:rPr>
      </w:pPr>
    </w:p>
    <w:p w14:paraId="726541B8" w14:textId="0BD5676D" w:rsidR="00324670" w:rsidRDefault="00324670" w:rsidP="00324670">
      <w:pPr>
        <w:rPr>
          <w:rFonts w:asciiTheme="minorHAnsi" w:hAnsiTheme="minorHAnsi"/>
          <w:sz w:val="28"/>
          <w:szCs w:val="28"/>
        </w:rPr>
      </w:pPr>
      <w:r>
        <w:rPr>
          <w:rFonts w:asciiTheme="minorHAnsi" w:hAnsiTheme="minorHAnsi"/>
          <w:sz w:val="28"/>
          <w:szCs w:val="28"/>
        </w:rPr>
        <w:t xml:space="preserve">Relative </w:t>
      </w:r>
      <w:r w:rsidRPr="005A7593">
        <w:rPr>
          <w:rFonts w:asciiTheme="minorHAnsi" w:hAnsiTheme="minorHAnsi"/>
          <w:sz w:val="28"/>
          <w:szCs w:val="28"/>
        </w:rPr>
        <w:t>Contraindications for Myelography</w:t>
      </w:r>
      <w:r w:rsidRPr="005468FB">
        <w:rPr>
          <w:rFonts w:asciiTheme="minorHAnsi" w:hAnsiTheme="minorHAnsi"/>
          <w:sz w:val="28"/>
          <w:szCs w:val="28"/>
          <w:vertAlign w:val="superscript"/>
        </w:rPr>
        <w:t>1</w:t>
      </w:r>
    </w:p>
    <w:p w14:paraId="31973571" w14:textId="77777777" w:rsidR="00324670" w:rsidRPr="002E3C6B" w:rsidRDefault="00324670" w:rsidP="00324670">
      <w:pPr>
        <w:rPr>
          <w:rFonts w:asciiTheme="minorHAnsi" w:hAnsiTheme="minorHAnsi"/>
          <w:sz w:val="28"/>
          <w:szCs w:val="28"/>
        </w:rPr>
      </w:pPr>
    </w:p>
    <w:p w14:paraId="10EA04CC" w14:textId="5052C65F" w:rsidR="00324670" w:rsidRPr="00AA08EC" w:rsidRDefault="00324670" w:rsidP="00324670">
      <w:pPr>
        <w:pStyle w:val="ListParagraph"/>
        <w:numPr>
          <w:ilvl w:val="0"/>
          <w:numId w:val="10"/>
        </w:numPr>
        <w:rPr>
          <w:rFonts w:asciiTheme="minorHAnsi" w:hAnsiTheme="minorHAnsi"/>
        </w:rPr>
      </w:pPr>
      <w:r w:rsidRPr="00AA08EC">
        <w:rPr>
          <w:rFonts w:asciiTheme="minorHAnsi" w:hAnsiTheme="minorHAnsi"/>
        </w:rPr>
        <w:t>Coagulopathy</w:t>
      </w:r>
    </w:p>
    <w:p w14:paraId="7CC6CA4A" w14:textId="77777777" w:rsidR="00324670" w:rsidRPr="00AA08EC" w:rsidRDefault="00324670" w:rsidP="00324670">
      <w:pPr>
        <w:pStyle w:val="ListParagraph"/>
        <w:numPr>
          <w:ilvl w:val="0"/>
          <w:numId w:val="10"/>
        </w:numPr>
        <w:rPr>
          <w:rFonts w:asciiTheme="minorHAnsi" w:hAnsiTheme="minorHAnsi"/>
        </w:rPr>
      </w:pPr>
      <w:r>
        <w:rPr>
          <w:rFonts w:asciiTheme="minorHAnsi" w:hAnsiTheme="minorHAnsi"/>
        </w:rPr>
        <w:t>Spine infection.</w:t>
      </w:r>
    </w:p>
    <w:p w14:paraId="714B8452" w14:textId="77777777" w:rsidR="00324670" w:rsidRPr="00AA08EC" w:rsidRDefault="00324670" w:rsidP="00324670">
      <w:pPr>
        <w:pStyle w:val="ListParagraph"/>
        <w:numPr>
          <w:ilvl w:val="0"/>
          <w:numId w:val="10"/>
        </w:numPr>
        <w:rPr>
          <w:rFonts w:asciiTheme="minorHAnsi" w:hAnsiTheme="minorHAnsi"/>
        </w:rPr>
      </w:pPr>
      <w:r w:rsidRPr="00AA08EC">
        <w:rPr>
          <w:rFonts w:asciiTheme="minorHAnsi" w:hAnsiTheme="minorHAnsi"/>
        </w:rPr>
        <w:t xml:space="preserve">Known space-occupying intracranial process with increased intracranial pressure </w:t>
      </w:r>
    </w:p>
    <w:p w14:paraId="79203F56" w14:textId="77777777" w:rsidR="00324670" w:rsidRPr="00AA08EC" w:rsidRDefault="00324670" w:rsidP="00324670">
      <w:pPr>
        <w:pStyle w:val="ListParagraph"/>
        <w:numPr>
          <w:ilvl w:val="0"/>
          <w:numId w:val="10"/>
        </w:numPr>
        <w:rPr>
          <w:rFonts w:asciiTheme="minorHAnsi" w:hAnsiTheme="minorHAnsi"/>
        </w:rPr>
      </w:pPr>
      <w:r w:rsidRPr="00AA08EC">
        <w:rPr>
          <w:rFonts w:asciiTheme="minorHAnsi" w:hAnsiTheme="minorHAnsi"/>
        </w:rPr>
        <w:t>Recent myelography performed within 1 week</w:t>
      </w:r>
      <w:r>
        <w:rPr>
          <w:rFonts w:asciiTheme="minorHAnsi" w:hAnsiTheme="minorHAnsi"/>
        </w:rPr>
        <w:t>.</w:t>
      </w:r>
    </w:p>
    <w:p w14:paraId="652AC8B1" w14:textId="77777777" w:rsidR="00324670" w:rsidRPr="00AA08EC" w:rsidRDefault="00324670" w:rsidP="00324670">
      <w:pPr>
        <w:pStyle w:val="ListParagraph"/>
        <w:numPr>
          <w:ilvl w:val="0"/>
          <w:numId w:val="10"/>
        </w:numPr>
        <w:rPr>
          <w:rFonts w:asciiTheme="minorHAnsi" w:hAnsiTheme="minorHAnsi"/>
        </w:rPr>
      </w:pPr>
      <w:r w:rsidRPr="00AA08EC">
        <w:rPr>
          <w:rFonts w:asciiTheme="minorHAnsi" w:hAnsiTheme="minorHAnsi"/>
        </w:rPr>
        <w:t>Previous surgical procedure in anticipated puncture site (can choose alternative puncture site)</w:t>
      </w:r>
      <w:r>
        <w:rPr>
          <w:rFonts w:asciiTheme="minorHAnsi" w:hAnsiTheme="minorHAnsi"/>
        </w:rPr>
        <w:t>.</w:t>
      </w:r>
    </w:p>
    <w:p w14:paraId="35621148" w14:textId="77777777" w:rsidR="00324670" w:rsidRPr="00AA08EC" w:rsidRDefault="00324670" w:rsidP="00324670">
      <w:pPr>
        <w:pStyle w:val="ListParagraph"/>
        <w:numPr>
          <w:ilvl w:val="0"/>
          <w:numId w:val="10"/>
        </w:numPr>
        <w:rPr>
          <w:rFonts w:asciiTheme="minorHAnsi" w:hAnsiTheme="minorHAnsi"/>
        </w:rPr>
      </w:pPr>
      <w:r w:rsidRPr="00AA08EC">
        <w:rPr>
          <w:rFonts w:asciiTheme="minorHAnsi" w:hAnsiTheme="minorHAnsi"/>
        </w:rPr>
        <w:t>Generalized septicemia</w:t>
      </w:r>
      <w:r>
        <w:rPr>
          <w:rFonts w:asciiTheme="minorHAnsi" w:hAnsiTheme="minorHAnsi"/>
        </w:rPr>
        <w:t>.</w:t>
      </w:r>
    </w:p>
    <w:p w14:paraId="0E3DCEFA" w14:textId="77777777" w:rsidR="00324670" w:rsidRPr="00AA08EC" w:rsidRDefault="00324670" w:rsidP="00324670">
      <w:pPr>
        <w:pStyle w:val="ListParagraph"/>
        <w:numPr>
          <w:ilvl w:val="0"/>
          <w:numId w:val="10"/>
        </w:numPr>
        <w:rPr>
          <w:rFonts w:asciiTheme="minorHAnsi" w:hAnsiTheme="minorHAnsi"/>
        </w:rPr>
      </w:pPr>
      <w:r w:rsidRPr="00AA08EC">
        <w:rPr>
          <w:rFonts w:asciiTheme="minorHAnsi" w:hAnsiTheme="minorHAnsi"/>
        </w:rPr>
        <w:lastRenderedPageBreak/>
        <w:t>History of adverse reaction to iodinated contrast media and/or gadolinium-based MR contrast agents</w:t>
      </w:r>
      <w:r>
        <w:rPr>
          <w:rFonts w:asciiTheme="minorHAnsi" w:hAnsiTheme="minorHAnsi"/>
        </w:rPr>
        <w:t>.</w:t>
      </w:r>
    </w:p>
    <w:p w14:paraId="7439FBCC" w14:textId="77777777" w:rsidR="00324670" w:rsidRPr="00AA08EC" w:rsidRDefault="00324670" w:rsidP="00324670">
      <w:pPr>
        <w:pStyle w:val="ListParagraph"/>
        <w:numPr>
          <w:ilvl w:val="0"/>
          <w:numId w:val="10"/>
        </w:numPr>
        <w:rPr>
          <w:rFonts w:asciiTheme="minorHAnsi" w:hAnsiTheme="minorHAnsi"/>
        </w:rPr>
      </w:pPr>
      <w:r w:rsidRPr="00AA08EC">
        <w:rPr>
          <w:rFonts w:asciiTheme="minorHAnsi" w:hAnsiTheme="minorHAnsi"/>
        </w:rPr>
        <w:t>History of seizures (patient may be premedicated)</w:t>
      </w:r>
      <w:r>
        <w:rPr>
          <w:rFonts w:asciiTheme="minorHAnsi" w:hAnsiTheme="minorHAnsi"/>
        </w:rPr>
        <w:t>.</w:t>
      </w:r>
    </w:p>
    <w:p w14:paraId="6F7DBD0A" w14:textId="77777777" w:rsidR="00324670" w:rsidRPr="00AA08EC" w:rsidRDefault="00324670" w:rsidP="00324670">
      <w:pPr>
        <w:pStyle w:val="ListParagraph"/>
        <w:numPr>
          <w:ilvl w:val="0"/>
          <w:numId w:val="10"/>
        </w:numPr>
        <w:rPr>
          <w:rFonts w:asciiTheme="minorHAnsi" w:hAnsiTheme="minorHAnsi"/>
        </w:rPr>
      </w:pPr>
      <w:r w:rsidRPr="00AA08EC">
        <w:rPr>
          <w:rFonts w:asciiTheme="minorHAnsi" w:hAnsiTheme="minorHAnsi"/>
        </w:rPr>
        <w:t>Grossly bloody spinal tap (may proceed when benefit outweighs risk)</w:t>
      </w:r>
      <w:r>
        <w:rPr>
          <w:rFonts w:asciiTheme="minorHAnsi" w:hAnsiTheme="minorHAnsi"/>
        </w:rPr>
        <w:t>.</w:t>
      </w:r>
    </w:p>
    <w:p w14:paraId="45CA1341" w14:textId="77777777" w:rsidR="00324670" w:rsidRPr="00AA08EC" w:rsidRDefault="00324670" w:rsidP="00324670">
      <w:pPr>
        <w:pStyle w:val="ListParagraph"/>
        <w:numPr>
          <w:ilvl w:val="0"/>
          <w:numId w:val="10"/>
        </w:numPr>
        <w:rPr>
          <w:rFonts w:asciiTheme="minorHAnsi" w:hAnsiTheme="minorHAnsi"/>
        </w:rPr>
      </w:pPr>
      <w:r w:rsidRPr="00AA08EC">
        <w:rPr>
          <w:rFonts w:asciiTheme="minorHAnsi" w:hAnsiTheme="minorHAnsi"/>
        </w:rPr>
        <w:t>Hematoma or localized infection at region of puncture site</w:t>
      </w:r>
      <w:r>
        <w:rPr>
          <w:rFonts w:asciiTheme="minorHAnsi" w:hAnsiTheme="minorHAnsi"/>
        </w:rPr>
        <w:t>.</w:t>
      </w:r>
    </w:p>
    <w:p w14:paraId="745190BB" w14:textId="77777777" w:rsidR="00324670" w:rsidRPr="00AA08EC" w:rsidRDefault="00324670" w:rsidP="00324670">
      <w:pPr>
        <w:pStyle w:val="ListParagraph"/>
        <w:numPr>
          <w:ilvl w:val="0"/>
          <w:numId w:val="10"/>
        </w:numPr>
        <w:rPr>
          <w:rFonts w:asciiTheme="minorHAnsi" w:hAnsiTheme="minorHAnsi"/>
        </w:rPr>
      </w:pPr>
      <w:r w:rsidRPr="00AA08EC">
        <w:rPr>
          <w:rFonts w:asciiTheme="minorHAnsi" w:hAnsiTheme="minorHAnsi"/>
        </w:rPr>
        <w:t>Pregnancy</w:t>
      </w:r>
      <w:r>
        <w:rPr>
          <w:rFonts w:asciiTheme="minorHAnsi" w:hAnsiTheme="minorHAnsi"/>
        </w:rPr>
        <w:t>.</w:t>
      </w:r>
    </w:p>
    <w:p w14:paraId="782A5A41" w14:textId="77777777" w:rsidR="00324670" w:rsidRPr="00AA08EC" w:rsidRDefault="00324670" w:rsidP="00324670">
      <w:pPr>
        <w:ind w:left="360"/>
        <w:rPr>
          <w:rFonts w:asciiTheme="minorHAnsi" w:hAnsiTheme="minorHAnsi"/>
        </w:rPr>
      </w:pPr>
    </w:p>
    <w:p w14:paraId="6CB391F5" w14:textId="77777777" w:rsidR="00AD4969" w:rsidRPr="005468FB" w:rsidRDefault="00AD4969">
      <w:pPr>
        <w:rPr>
          <w:rFonts w:asciiTheme="minorHAnsi" w:hAnsiTheme="minorHAnsi"/>
        </w:rPr>
      </w:pPr>
    </w:p>
    <w:p w14:paraId="1C610C96" w14:textId="3D3333C5" w:rsidR="006C7C85" w:rsidRDefault="006C7C85">
      <w:pPr>
        <w:rPr>
          <w:rFonts w:asciiTheme="minorHAnsi" w:hAnsiTheme="minorHAnsi"/>
          <w:sz w:val="28"/>
          <w:szCs w:val="28"/>
        </w:rPr>
      </w:pPr>
      <w:r w:rsidRPr="005468FB">
        <w:rPr>
          <w:rFonts w:asciiTheme="minorHAnsi" w:hAnsiTheme="minorHAnsi"/>
          <w:sz w:val="28"/>
          <w:szCs w:val="28"/>
        </w:rPr>
        <w:t>Withholding Medications Prior to the Procedure</w:t>
      </w:r>
    </w:p>
    <w:p w14:paraId="7055EC3F" w14:textId="2B552B5E" w:rsidR="00752E27" w:rsidRDefault="00752E27">
      <w:pPr>
        <w:rPr>
          <w:rFonts w:asciiTheme="minorHAnsi" w:hAnsiTheme="minorHAnsi"/>
          <w:sz w:val="28"/>
          <w:szCs w:val="28"/>
        </w:rPr>
      </w:pPr>
    </w:p>
    <w:p w14:paraId="7D6D8000" w14:textId="43C2E122" w:rsidR="00752E27" w:rsidRPr="00752E27" w:rsidRDefault="00752E27">
      <w:pPr>
        <w:rPr>
          <w:rFonts w:asciiTheme="minorHAnsi" w:hAnsiTheme="minorHAnsi"/>
        </w:rPr>
      </w:pPr>
      <w:r>
        <w:rPr>
          <w:rFonts w:asciiTheme="minorHAnsi" w:hAnsiTheme="minorHAnsi"/>
        </w:rPr>
        <w:t>Patients who are on anticoagulation therapy should discontinue these drugs for a period of time as indicated in the RIA medication guidelines for medical imaging procedures.</w:t>
      </w:r>
    </w:p>
    <w:p w14:paraId="215C41EE" w14:textId="77777777" w:rsidR="006C7C85" w:rsidRPr="005468FB" w:rsidRDefault="006C7C85">
      <w:pPr>
        <w:rPr>
          <w:rFonts w:asciiTheme="minorHAnsi" w:hAnsiTheme="minorHAnsi"/>
          <w:b/>
          <w:bCs/>
        </w:rPr>
      </w:pPr>
    </w:p>
    <w:p w14:paraId="78C57AC9" w14:textId="179701CB" w:rsidR="006C7C85" w:rsidRPr="005468FB" w:rsidRDefault="006C7C85">
      <w:pPr>
        <w:rPr>
          <w:rFonts w:asciiTheme="minorHAnsi" w:hAnsiTheme="minorHAnsi"/>
          <w:b/>
          <w:bCs/>
        </w:rPr>
      </w:pPr>
      <w:r w:rsidRPr="005468FB">
        <w:rPr>
          <w:rFonts w:asciiTheme="minorHAnsi" w:hAnsiTheme="minorHAnsi"/>
          <w:b/>
          <w:bCs/>
          <w:i/>
          <w:iCs/>
        </w:rPr>
        <w:t xml:space="preserve">Screening for “seizure-threshold lowering medications” and </w:t>
      </w:r>
      <w:r w:rsidR="000C15F2" w:rsidRPr="005468FB">
        <w:rPr>
          <w:rFonts w:asciiTheme="minorHAnsi" w:hAnsiTheme="minorHAnsi"/>
          <w:b/>
          <w:bCs/>
          <w:i/>
          <w:iCs/>
        </w:rPr>
        <w:t>advising</w:t>
      </w:r>
      <w:r w:rsidRPr="005468FB">
        <w:rPr>
          <w:rFonts w:asciiTheme="minorHAnsi" w:hAnsiTheme="minorHAnsi"/>
          <w:b/>
          <w:bCs/>
          <w:i/>
          <w:iCs/>
        </w:rPr>
        <w:t xml:space="preserve"> patients to stop taking these medications prior to routine myelography is not indicated.</w:t>
      </w:r>
      <w:r w:rsidR="00CC67A2" w:rsidRPr="005468FB">
        <w:rPr>
          <w:rFonts w:asciiTheme="minorHAnsi" w:hAnsiTheme="minorHAnsi"/>
          <w:b/>
          <w:bCs/>
          <w:i/>
          <w:iCs/>
        </w:rPr>
        <w:t xml:space="preserve"> </w:t>
      </w:r>
    </w:p>
    <w:p w14:paraId="050FC215" w14:textId="489541F2" w:rsidR="00B26A37" w:rsidRPr="005468FB" w:rsidRDefault="00B26A37" w:rsidP="00CC67A2">
      <w:pPr>
        <w:rPr>
          <w:rFonts w:asciiTheme="minorHAnsi" w:hAnsiTheme="minorHAnsi"/>
        </w:rPr>
      </w:pPr>
    </w:p>
    <w:p w14:paraId="210FC219" w14:textId="1E90B876" w:rsidR="00B26A37" w:rsidRPr="005468FB" w:rsidRDefault="00B26A37" w:rsidP="00CC67A2">
      <w:pPr>
        <w:rPr>
          <w:rFonts w:asciiTheme="minorHAnsi" w:hAnsiTheme="minorHAnsi"/>
        </w:rPr>
      </w:pPr>
      <w:r w:rsidRPr="005468FB">
        <w:rPr>
          <w:rFonts w:asciiTheme="minorHAnsi" w:hAnsiTheme="minorHAnsi"/>
        </w:rPr>
        <w:t>First generation (pre</w:t>
      </w:r>
      <w:r w:rsidR="00DC2802" w:rsidRPr="005468FB">
        <w:rPr>
          <w:rFonts w:asciiTheme="minorHAnsi" w:hAnsiTheme="minorHAnsi"/>
        </w:rPr>
        <w:t xml:space="preserve"> </w:t>
      </w:r>
      <w:r w:rsidRPr="005468FB">
        <w:rPr>
          <w:rFonts w:asciiTheme="minorHAnsi" w:hAnsiTheme="minorHAnsi"/>
        </w:rPr>
        <w:t>1980) water-soluble nonionic contrast agents (</w:t>
      </w:r>
      <w:r w:rsidRPr="005468FB">
        <w:rPr>
          <w:rFonts w:asciiTheme="minorHAnsi" w:hAnsiTheme="minorHAnsi"/>
          <w:i/>
          <w:iCs/>
        </w:rPr>
        <w:t>e.g.</w:t>
      </w:r>
      <w:r w:rsidRPr="005468FB">
        <w:rPr>
          <w:rFonts w:asciiTheme="minorHAnsi" w:hAnsiTheme="minorHAnsi"/>
        </w:rPr>
        <w:t xml:space="preserve"> Metrizamide) were associated with encephalopathy and seizures after intrathecal administration. Second generation (post 1980s) water-soluble nonionic contrast agents (</w:t>
      </w:r>
      <w:r w:rsidRPr="005468FB">
        <w:rPr>
          <w:rFonts w:asciiTheme="minorHAnsi" w:hAnsiTheme="minorHAnsi"/>
          <w:i/>
          <w:iCs/>
        </w:rPr>
        <w:t>e.g.</w:t>
      </w:r>
      <w:r w:rsidRPr="005468FB">
        <w:rPr>
          <w:rFonts w:asciiTheme="minorHAnsi" w:hAnsiTheme="minorHAnsi"/>
        </w:rPr>
        <w:t xml:space="preserve"> Ioxhexol) were shown to cause significantly less severe and less frequent reactions than their </w:t>
      </w:r>
      <w:r w:rsidR="00874BB7" w:rsidRPr="005468FB">
        <w:rPr>
          <w:rFonts w:asciiTheme="minorHAnsi" w:hAnsiTheme="minorHAnsi"/>
        </w:rPr>
        <w:t>first-generation</w:t>
      </w:r>
      <w:r w:rsidRPr="005468FB">
        <w:rPr>
          <w:rFonts w:asciiTheme="minorHAnsi" w:hAnsiTheme="minorHAnsi"/>
        </w:rPr>
        <w:t xml:space="preserve"> counterparts. It remains unclear why </w:t>
      </w:r>
      <w:r w:rsidR="00874BB7" w:rsidRPr="005468FB">
        <w:rPr>
          <w:rFonts w:asciiTheme="minorHAnsi" w:hAnsiTheme="minorHAnsi"/>
        </w:rPr>
        <w:t>second-generation</w:t>
      </w:r>
      <w:r w:rsidRPr="005468FB">
        <w:rPr>
          <w:rFonts w:asciiTheme="minorHAnsi" w:hAnsiTheme="minorHAnsi"/>
        </w:rPr>
        <w:t xml:space="preserve"> agents have a lower seizure risk than first generation agents.</w:t>
      </w:r>
      <w:r w:rsidR="00DC2802" w:rsidRPr="005468FB">
        <w:rPr>
          <w:rFonts w:asciiTheme="minorHAnsi" w:hAnsiTheme="minorHAnsi"/>
        </w:rPr>
        <w:t xml:space="preserve"> Almost all practices now use second generation or later contrast agents. </w:t>
      </w:r>
    </w:p>
    <w:p w14:paraId="183C7320" w14:textId="5DD0208B" w:rsidR="00B26A37" w:rsidRPr="005468FB" w:rsidRDefault="00B26A37" w:rsidP="00CC67A2">
      <w:pPr>
        <w:rPr>
          <w:rFonts w:asciiTheme="minorHAnsi" w:hAnsiTheme="minorHAnsi"/>
        </w:rPr>
      </w:pPr>
    </w:p>
    <w:p w14:paraId="147D6C62" w14:textId="4A203F09" w:rsidR="00DC2802" w:rsidRPr="005468FB" w:rsidRDefault="00DC2802" w:rsidP="00CC67A2">
      <w:pPr>
        <w:rPr>
          <w:rFonts w:asciiTheme="minorHAnsi" w:hAnsiTheme="minorHAnsi"/>
        </w:rPr>
      </w:pPr>
      <w:r w:rsidRPr="005468FB">
        <w:rPr>
          <w:rFonts w:asciiTheme="minorHAnsi" w:hAnsiTheme="minorHAnsi"/>
        </w:rPr>
        <w:t>Reasons for not stopping seizure-threshold lowering medications</w:t>
      </w:r>
      <w:r w:rsidR="00805B06" w:rsidRPr="005468FB">
        <w:rPr>
          <w:rFonts w:asciiTheme="minorHAnsi" w:hAnsiTheme="minorHAnsi"/>
          <w:vertAlign w:val="superscript"/>
        </w:rPr>
        <w:t>2</w:t>
      </w:r>
      <w:r w:rsidR="00DB09A3" w:rsidRPr="005468FB">
        <w:rPr>
          <w:rFonts w:asciiTheme="minorHAnsi" w:hAnsiTheme="minorHAnsi"/>
          <w:vertAlign w:val="superscript"/>
        </w:rPr>
        <w:t>-3</w:t>
      </w:r>
      <w:r w:rsidRPr="005468FB">
        <w:rPr>
          <w:rFonts w:asciiTheme="minorHAnsi" w:hAnsiTheme="minorHAnsi"/>
        </w:rPr>
        <w:t xml:space="preserve"> :</w:t>
      </w:r>
    </w:p>
    <w:p w14:paraId="414F864C" w14:textId="77777777" w:rsidR="00DC2802" w:rsidRPr="005468FB" w:rsidRDefault="00DC2802" w:rsidP="00CC67A2">
      <w:pPr>
        <w:rPr>
          <w:rFonts w:asciiTheme="minorHAnsi" w:hAnsiTheme="minorHAnsi"/>
        </w:rPr>
      </w:pPr>
    </w:p>
    <w:p w14:paraId="13D697C2" w14:textId="6F0589B5" w:rsidR="00DC2802" w:rsidRPr="005468FB" w:rsidRDefault="00DC2802" w:rsidP="00DC2802">
      <w:pPr>
        <w:pStyle w:val="ListParagraph"/>
        <w:numPr>
          <w:ilvl w:val="0"/>
          <w:numId w:val="5"/>
        </w:numPr>
        <w:rPr>
          <w:rFonts w:asciiTheme="minorHAnsi" w:hAnsiTheme="minorHAnsi"/>
        </w:rPr>
      </w:pPr>
      <w:r w:rsidRPr="005468FB">
        <w:rPr>
          <w:rFonts w:asciiTheme="minorHAnsi" w:hAnsiTheme="minorHAnsi"/>
        </w:rPr>
        <w:t xml:space="preserve">Only a few case reports exist of seizures in patients undergoing myelography with a second generation Iohexol agent. </w:t>
      </w:r>
      <w:r w:rsidR="00DD3671" w:rsidRPr="005468FB">
        <w:rPr>
          <w:rFonts w:asciiTheme="minorHAnsi" w:hAnsiTheme="minorHAnsi"/>
        </w:rPr>
        <w:t>E</w:t>
      </w:r>
      <w:r w:rsidRPr="005468FB">
        <w:rPr>
          <w:rFonts w:asciiTheme="minorHAnsi" w:hAnsiTheme="minorHAnsi"/>
        </w:rPr>
        <w:t xml:space="preserve">vidence of a </w:t>
      </w:r>
      <w:r w:rsidR="00DD3671" w:rsidRPr="005468FB">
        <w:rPr>
          <w:rFonts w:asciiTheme="minorHAnsi" w:hAnsiTheme="minorHAnsi"/>
        </w:rPr>
        <w:t xml:space="preserve">relationship between these medications and </w:t>
      </w:r>
      <w:r w:rsidR="00DD3671" w:rsidRPr="006A26B7">
        <w:rPr>
          <w:rFonts w:asciiTheme="minorHAnsi" w:hAnsiTheme="minorHAnsi"/>
          <w:i/>
          <w:iCs/>
        </w:rPr>
        <w:t>newer</w:t>
      </w:r>
      <w:r w:rsidR="00DD3671" w:rsidRPr="005468FB">
        <w:rPr>
          <w:rFonts w:asciiTheme="minorHAnsi" w:hAnsiTheme="minorHAnsi"/>
        </w:rPr>
        <w:t xml:space="preserve"> contrast agents is tenuous at best. </w:t>
      </w:r>
    </w:p>
    <w:p w14:paraId="2285ABEF" w14:textId="77777777" w:rsidR="00DC2802" w:rsidRPr="005468FB" w:rsidRDefault="00DC2802" w:rsidP="00DC2802">
      <w:pPr>
        <w:pStyle w:val="ListParagraph"/>
        <w:ind w:left="1080"/>
        <w:rPr>
          <w:rFonts w:asciiTheme="minorHAnsi" w:hAnsiTheme="minorHAnsi"/>
        </w:rPr>
      </w:pPr>
    </w:p>
    <w:p w14:paraId="3669C87C" w14:textId="06BBC34B" w:rsidR="00CC67A2" w:rsidRPr="005468FB" w:rsidRDefault="00DC2802" w:rsidP="00DC2802">
      <w:pPr>
        <w:pStyle w:val="ListParagraph"/>
        <w:numPr>
          <w:ilvl w:val="0"/>
          <w:numId w:val="5"/>
        </w:numPr>
        <w:rPr>
          <w:rFonts w:asciiTheme="minorHAnsi" w:hAnsiTheme="minorHAnsi"/>
        </w:rPr>
      </w:pPr>
      <w:r w:rsidRPr="005468FB">
        <w:rPr>
          <w:rFonts w:asciiTheme="minorHAnsi" w:hAnsiTheme="minorHAnsi"/>
        </w:rPr>
        <w:t xml:space="preserve">It is no longer standard of care to withhold seizure-threshold lowering medications. </w:t>
      </w:r>
      <w:r w:rsidR="00DD3671" w:rsidRPr="005468FB">
        <w:rPr>
          <w:rFonts w:asciiTheme="minorHAnsi" w:hAnsiTheme="minorHAnsi"/>
        </w:rPr>
        <w:t>F</w:t>
      </w:r>
      <w:r w:rsidRPr="005468FB">
        <w:rPr>
          <w:rFonts w:asciiTheme="minorHAnsi" w:hAnsiTheme="minorHAnsi"/>
        </w:rPr>
        <w:t xml:space="preserve">ewer practices are screening for these medications </w:t>
      </w:r>
      <w:r w:rsidR="00DD3671" w:rsidRPr="005468FB">
        <w:rPr>
          <w:rFonts w:asciiTheme="minorHAnsi" w:hAnsiTheme="minorHAnsi"/>
        </w:rPr>
        <w:t>compared to</w:t>
      </w:r>
      <w:r w:rsidRPr="005468FB">
        <w:rPr>
          <w:rFonts w:asciiTheme="minorHAnsi" w:hAnsiTheme="minorHAnsi"/>
        </w:rPr>
        <w:t xml:space="preserve"> the past. </w:t>
      </w:r>
      <w:r w:rsidR="00CC67A2" w:rsidRPr="005468FB">
        <w:rPr>
          <w:rFonts w:asciiTheme="minorHAnsi" w:hAnsiTheme="minorHAnsi"/>
        </w:rPr>
        <w:t xml:space="preserve">In 2005, 63% of </w:t>
      </w:r>
      <w:r w:rsidR="00DD3671" w:rsidRPr="005468FB">
        <w:rPr>
          <w:rFonts w:asciiTheme="minorHAnsi" w:hAnsiTheme="minorHAnsi"/>
        </w:rPr>
        <w:t xml:space="preserve">American Society of Neuroradiology member </w:t>
      </w:r>
      <w:r w:rsidR="00CC67A2" w:rsidRPr="005468FB">
        <w:rPr>
          <w:rFonts w:asciiTheme="minorHAnsi" w:hAnsiTheme="minorHAnsi"/>
        </w:rPr>
        <w:t xml:space="preserve">practitioners screened for STLMs. In 2018, only 43% of </w:t>
      </w:r>
      <w:r w:rsidR="00DD3671" w:rsidRPr="005468FB">
        <w:rPr>
          <w:rFonts w:asciiTheme="minorHAnsi" w:hAnsiTheme="minorHAnsi"/>
        </w:rPr>
        <w:t xml:space="preserve">these </w:t>
      </w:r>
      <w:r w:rsidR="00CC67A2" w:rsidRPr="005468FB">
        <w:rPr>
          <w:rFonts w:asciiTheme="minorHAnsi" w:hAnsiTheme="minorHAnsi"/>
        </w:rPr>
        <w:t>practitioners screened for such medications.</w:t>
      </w:r>
      <w:r w:rsidRPr="005468FB">
        <w:rPr>
          <w:rFonts w:asciiTheme="minorHAnsi" w:hAnsiTheme="minorHAnsi"/>
        </w:rPr>
        <w:t xml:space="preserve"> </w:t>
      </w:r>
    </w:p>
    <w:p w14:paraId="5D7CA7D5" w14:textId="77777777" w:rsidR="00DC2802" w:rsidRPr="005468FB" w:rsidRDefault="00DC2802" w:rsidP="00DC2802">
      <w:pPr>
        <w:pStyle w:val="ListParagraph"/>
        <w:rPr>
          <w:rFonts w:asciiTheme="minorHAnsi" w:hAnsiTheme="minorHAnsi"/>
        </w:rPr>
      </w:pPr>
    </w:p>
    <w:p w14:paraId="75C0AD99" w14:textId="71F1BCD3" w:rsidR="00DC2802" w:rsidRPr="005468FB" w:rsidRDefault="00DC2802" w:rsidP="00DC2802">
      <w:pPr>
        <w:pStyle w:val="ListParagraph"/>
        <w:numPr>
          <w:ilvl w:val="0"/>
          <w:numId w:val="5"/>
        </w:numPr>
        <w:rPr>
          <w:rFonts w:asciiTheme="minorHAnsi" w:hAnsiTheme="minorHAnsi"/>
        </w:rPr>
      </w:pPr>
      <w:r w:rsidRPr="005468FB">
        <w:rPr>
          <w:rFonts w:asciiTheme="minorHAnsi" w:hAnsiTheme="minorHAnsi"/>
        </w:rPr>
        <w:t xml:space="preserve">There is no </w:t>
      </w:r>
      <w:r w:rsidR="00874BB7" w:rsidRPr="005468FB">
        <w:rPr>
          <w:rFonts w:asciiTheme="minorHAnsi" w:hAnsiTheme="minorHAnsi"/>
        </w:rPr>
        <w:t>statistically significant</w:t>
      </w:r>
      <w:r w:rsidRPr="005468FB">
        <w:rPr>
          <w:rFonts w:asciiTheme="minorHAnsi" w:hAnsiTheme="minorHAnsi"/>
        </w:rPr>
        <w:t xml:space="preserve"> difference in the number of seizures related to intrathecal Iohexol contrast administration between practices that withheld seizure-threshold medications and </w:t>
      </w:r>
      <w:r w:rsidR="00DD3671" w:rsidRPr="005468FB">
        <w:rPr>
          <w:rFonts w:asciiTheme="minorHAnsi" w:hAnsiTheme="minorHAnsi"/>
        </w:rPr>
        <w:t xml:space="preserve">practices </w:t>
      </w:r>
      <w:r w:rsidRPr="005468FB">
        <w:rPr>
          <w:rFonts w:asciiTheme="minorHAnsi" w:hAnsiTheme="minorHAnsi"/>
        </w:rPr>
        <w:t>that did not withhold these medications</w:t>
      </w:r>
      <w:r w:rsidR="00DD3671" w:rsidRPr="005468FB">
        <w:rPr>
          <w:rFonts w:asciiTheme="minorHAnsi" w:hAnsiTheme="minorHAnsi"/>
        </w:rPr>
        <w:t>.</w:t>
      </w:r>
      <w:r w:rsidR="006A26B7">
        <w:rPr>
          <w:rFonts w:asciiTheme="minorHAnsi" w:hAnsiTheme="minorHAnsi"/>
        </w:rPr>
        <w:t xml:space="preserve"> </w:t>
      </w:r>
    </w:p>
    <w:p w14:paraId="072AF545" w14:textId="1610198E" w:rsidR="00B26A37" w:rsidRPr="005468FB" w:rsidRDefault="00B26A37" w:rsidP="00CC67A2">
      <w:pPr>
        <w:rPr>
          <w:rFonts w:asciiTheme="minorHAnsi" w:hAnsiTheme="minorHAnsi"/>
        </w:rPr>
      </w:pPr>
    </w:p>
    <w:p w14:paraId="62179590" w14:textId="1F9D19B9" w:rsidR="00B26A37" w:rsidRDefault="00B26A37" w:rsidP="00DD3671">
      <w:pPr>
        <w:pStyle w:val="ListParagraph"/>
        <w:numPr>
          <w:ilvl w:val="0"/>
          <w:numId w:val="5"/>
        </w:numPr>
        <w:rPr>
          <w:rFonts w:asciiTheme="minorHAnsi" w:hAnsiTheme="minorHAnsi"/>
        </w:rPr>
      </w:pPr>
      <w:r w:rsidRPr="005468FB">
        <w:rPr>
          <w:rFonts w:asciiTheme="minorHAnsi" w:hAnsiTheme="minorHAnsi"/>
        </w:rPr>
        <w:t xml:space="preserve">More than 100 medications fall into the category of “seizure-threshold lowering medications.” Common classes include serotonin and norepinephrine reuptake inhibitors, selective serotonin reuptake inhibitors, tricyclic antidepressants, and anti-psychotics. Screening for such an exhaustive list of mediations </w:t>
      </w:r>
      <w:r w:rsidR="00DD3671" w:rsidRPr="005468FB">
        <w:rPr>
          <w:rFonts w:asciiTheme="minorHAnsi" w:hAnsiTheme="minorHAnsi"/>
        </w:rPr>
        <w:t xml:space="preserve">comes at a cost (disproportionate to a dubious benefit) to the hospital systems, referring clinicians, </w:t>
      </w:r>
      <w:r w:rsidR="00DD3671" w:rsidRPr="005468FB">
        <w:rPr>
          <w:rFonts w:asciiTheme="minorHAnsi" w:hAnsiTheme="minorHAnsi"/>
        </w:rPr>
        <w:lastRenderedPageBreak/>
        <w:t>patients, and radiologists who become frustrated when appropriate procedures are cancelled or re-scheduled.</w:t>
      </w:r>
    </w:p>
    <w:p w14:paraId="68F091DD" w14:textId="77777777" w:rsidR="00365949" w:rsidRPr="00365949" w:rsidRDefault="00365949" w:rsidP="00365949">
      <w:pPr>
        <w:rPr>
          <w:rFonts w:asciiTheme="minorHAnsi" w:hAnsiTheme="minorHAnsi"/>
        </w:rPr>
      </w:pPr>
    </w:p>
    <w:p w14:paraId="02B12CFD" w14:textId="565662AF" w:rsidR="00B26A37" w:rsidRPr="00CC67A2" w:rsidRDefault="00365949" w:rsidP="00CC67A2">
      <w:pPr>
        <w:rPr>
          <w:rFonts w:asciiTheme="minorHAnsi" w:hAnsiTheme="minorHAnsi"/>
        </w:rPr>
      </w:pPr>
      <w:r>
        <w:rPr>
          <w:rFonts w:asciiTheme="minorHAnsi" w:hAnsiTheme="minorHAnsi"/>
        </w:rPr>
        <w:t xml:space="preserve">Bottom Line: </w:t>
      </w:r>
      <w:r w:rsidR="006A26B7">
        <w:rPr>
          <w:rFonts w:asciiTheme="minorHAnsi" w:hAnsiTheme="minorHAnsi"/>
        </w:rPr>
        <w:t>While t</w:t>
      </w:r>
      <w:r>
        <w:rPr>
          <w:rFonts w:asciiTheme="minorHAnsi" w:hAnsiTheme="minorHAnsi"/>
        </w:rPr>
        <w:t xml:space="preserve">here </w:t>
      </w:r>
      <w:r>
        <w:rPr>
          <w:rFonts w:asciiTheme="minorHAnsi" w:hAnsiTheme="minorHAnsi"/>
          <w:i/>
          <w:iCs/>
        </w:rPr>
        <w:t>are</w:t>
      </w:r>
      <w:r>
        <w:rPr>
          <w:rFonts w:asciiTheme="minorHAnsi" w:hAnsiTheme="minorHAnsi"/>
        </w:rPr>
        <w:t xml:space="preserve"> risks </w:t>
      </w:r>
      <w:r w:rsidR="006A26B7">
        <w:rPr>
          <w:rFonts w:asciiTheme="minorHAnsi" w:hAnsiTheme="minorHAnsi"/>
        </w:rPr>
        <w:t>associated with</w:t>
      </w:r>
      <w:r>
        <w:rPr>
          <w:rFonts w:asciiTheme="minorHAnsi" w:hAnsiTheme="minorHAnsi"/>
        </w:rPr>
        <w:t xml:space="preserve"> </w:t>
      </w:r>
      <w:r w:rsidR="006A26B7">
        <w:rPr>
          <w:rFonts w:asciiTheme="minorHAnsi" w:hAnsiTheme="minorHAnsi"/>
        </w:rPr>
        <w:t xml:space="preserve">any </w:t>
      </w:r>
      <w:r>
        <w:rPr>
          <w:rFonts w:asciiTheme="minorHAnsi" w:hAnsiTheme="minorHAnsi"/>
        </w:rPr>
        <w:t>intrathecal contrast administration</w:t>
      </w:r>
      <w:r w:rsidR="006A26B7">
        <w:rPr>
          <w:rFonts w:asciiTheme="minorHAnsi" w:hAnsiTheme="minorHAnsi"/>
        </w:rPr>
        <w:t xml:space="preserve">, </w:t>
      </w:r>
      <w:r w:rsidR="001D08C4">
        <w:rPr>
          <w:rFonts w:asciiTheme="minorHAnsi" w:hAnsiTheme="minorHAnsi"/>
        </w:rPr>
        <w:t>these risk</w:t>
      </w:r>
      <w:r w:rsidR="00874BB7">
        <w:rPr>
          <w:rFonts w:asciiTheme="minorHAnsi" w:hAnsiTheme="minorHAnsi"/>
        </w:rPr>
        <w:t>s</w:t>
      </w:r>
      <w:r w:rsidR="001D08C4">
        <w:rPr>
          <w:rFonts w:asciiTheme="minorHAnsi" w:hAnsiTheme="minorHAnsi"/>
        </w:rPr>
        <w:t xml:space="preserve"> are very low and occur whether you </w:t>
      </w:r>
      <w:r w:rsidR="006A26B7">
        <w:rPr>
          <w:rFonts w:asciiTheme="minorHAnsi" w:hAnsiTheme="minorHAnsi"/>
        </w:rPr>
        <w:t xml:space="preserve">withhold seizure-threshold lowering medications </w:t>
      </w:r>
      <w:r w:rsidR="001D08C4">
        <w:rPr>
          <w:rFonts w:asciiTheme="minorHAnsi" w:hAnsiTheme="minorHAnsi"/>
        </w:rPr>
        <w:t>or not.</w:t>
      </w:r>
    </w:p>
    <w:p w14:paraId="6579251B" w14:textId="739175F7" w:rsidR="00AD4969" w:rsidRDefault="00AD4969">
      <w:pPr>
        <w:rPr>
          <w:rFonts w:asciiTheme="minorHAnsi" w:hAnsiTheme="minorHAnsi"/>
          <w:sz w:val="28"/>
          <w:szCs w:val="28"/>
        </w:rPr>
      </w:pPr>
    </w:p>
    <w:p w14:paraId="6C59655D" w14:textId="77777777" w:rsidR="00AD4969" w:rsidRDefault="00AD4969">
      <w:pPr>
        <w:rPr>
          <w:rFonts w:asciiTheme="minorHAnsi" w:hAnsiTheme="minorHAnsi"/>
          <w:sz w:val="28"/>
          <w:szCs w:val="28"/>
        </w:rPr>
      </w:pPr>
    </w:p>
    <w:p w14:paraId="72743592" w14:textId="0E764882" w:rsidR="006C7C85" w:rsidRDefault="00DA1D9E">
      <w:pPr>
        <w:rPr>
          <w:rFonts w:asciiTheme="minorHAnsi" w:hAnsiTheme="minorHAnsi"/>
          <w:sz w:val="28"/>
          <w:szCs w:val="28"/>
        </w:rPr>
      </w:pPr>
      <w:r>
        <w:rPr>
          <w:rFonts w:asciiTheme="minorHAnsi" w:hAnsiTheme="minorHAnsi"/>
          <w:sz w:val="28"/>
          <w:szCs w:val="28"/>
        </w:rPr>
        <w:t>Suggested</w:t>
      </w:r>
      <w:r w:rsidR="00DD3671" w:rsidRPr="005468FB">
        <w:rPr>
          <w:rFonts w:asciiTheme="minorHAnsi" w:hAnsiTheme="minorHAnsi"/>
          <w:sz w:val="28"/>
          <w:szCs w:val="28"/>
        </w:rPr>
        <w:t xml:space="preserve"> Contrast Agents</w:t>
      </w:r>
      <w:r w:rsidR="000B490B" w:rsidRPr="005468FB">
        <w:rPr>
          <w:rFonts w:asciiTheme="minorHAnsi" w:hAnsiTheme="minorHAnsi"/>
          <w:sz w:val="28"/>
          <w:szCs w:val="28"/>
        </w:rPr>
        <w:t xml:space="preserve"> and Usual Route of Administration</w:t>
      </w:r>
    </w:p>
    <w:p w14:paraId="1EF11C64" w14:textId="77777777" w:rsidR="005468FB" w:rsidRPr="005468FB" w:rsidRDefault="005468FB">
      <w:pPr>
        <w:rPr>
          <w:rFonts w:asciiTheme="minorHAnsi" w:hAnsiTheme="minorHAnsi"/>
          <w:sz w:val="28"/>
          <w:szCs w:val="28"/>
        </w:rPr>
      </w:pPr>
    </w:p>
    <w:p w14:paraId="69DD6C62" w14:textId="1C0270BF" w:rsidR="00837694" w:rsidRDefault="000B490B">
      <w:pPr>
        <w:rPr>
          <w:rFonts w:asciiTheme="minorHAnsi" w:hAnsiTheme="minorHAnsi"/>
        </w:rPr>
      </w:pPr>
      <w:r w:rsidRPr="005468FB">
        <w:rPr>
          <w:rFonts w:asciiTheme="minorHAnsi" w:hAnsiTheme="minorHAnsi"/>
        </w:rPr>
        <w:t xml:space="preserve">The minimum dose needed to perform the procedure should always be used. </w:t>
      </w:r>
      <w:r w:rsidR="00BA19F9" w:rsidRPr="005468FB">
        <w:rPr>
          <w:rFonts w:asciiTheme="minorHAnsi" w:hAnsiTheme="minorHAnsi"/>
        </w:rPr>
        <w:t xml:space="preserve">The vast </w:t>
      </w:r>
      <w:r w:rsidRPr="005468FB">
        <w:rPr>
          <w:rFonts w:asciiTheme="minorHAnsi" w:hAnsiTheme="minorHAnsi"/>
        </w:rPr>
        <w:t xml:space="preserve">majority of intrathecal administrations should be performed </w:t>
      </w:r>
      <w:r w:rsidR="00BA19F9" w:rsidRPr="005468FB">
        <w:rPr>
          <w:rFonts w:asciiTheme="minorHAnsi" w:hAnsiTheme="minorHAnsi"/>
        </w:rPr>
        <w:t>using</w:t>
      </w:r>
      <w:r w:rsidRPr="005468FB">
        <w:rPr>
          <w:rFonts w:asciiTheme="minorHAnsi" w:hAnsiTheme="minorHAnsi"/>
        </w:rPr>
        <w:t xml:space="preserve"> a lumbar injection. </w:t>
      </w:r>
      <w:r w:rsidR="000115DE" w:rsidRPr="005468FB">
        <w:rPr>
          <w:rFonts w:asciiTheme="minorHAnsi" w:hAnsiTheme="minorHAnsi"/>
        </w:rPr>
        <w:t>However, intrathecal injections performed elsewhere in the spine may be rarely performed if there are specific anatomic or medical contraindications.</w:t>
      </w:r>
      <w:r w:rsidR="00BA19F9" w:rsidRPr="005468FB">
        <w:rPr>
          <w:rFonts w:asciiTheme="minorHAnsi" w:hAnsiTheme="minorHAnsi"/>
        </w:rPr>
        <w:t xml:space="preserve"> </w:t>
      </w:r>
    </w:p>
    <w:p w14:paraId="24AC2050" w14:textId="7A605721" w:rsidR="001F7B05" w:rsidRDefault="001F7B05">
      <w:pPr>
        <w:rPr>
          <w:rFonts w:asciiTheme="minorHAnsi" w:hAnsiTheme="minorHAnsi"/>
        </w:rPr>
      </w:pPr>
    </w:p>
    <w:p w14:paraId="381411C1" w14:textId="77777777" w:rsidR="001F7B05" w:rsidRDefault="001F7B05" w:rsidP="001F7B05">
      <w:pPr>
        <w:rPr>
          <w:rFonts w:asciiTheme="minorHAnsi" w:hAnsiTheme="minorHAnsi"/>
          <w:b/>
          <w:bCs/>
        </w:rPr>
      </w:pPr>
      <w:r w:rsidRPr="00DF691E">
        <w:rPr>
          <w:rFonts w:asciiTheme="minorHAnsi" w:hAnsiTheme="minorHAnsi"/>
          <w:b/>
          <w:bCs/>
        </w:rPr>
        <w:t xml:space="preserve">Only Isovue-M contrast is specifically indicated for myelography. Standard Isovue contrast without the -M designation is not approved for myelography. Omnipaque 140 mg I / mL and Omnipaque 350 mg I / mL are contra-indicated for intrathecal use. </w:t>
      </w:r>
    </w:p>
    <w:p w14:paraId="74F9EFE1" w14:textId="77777777" w:rsidR="001F7B05" w:rsidRDefault="001F7B05" w:rsidP="001F7B05">
      <w:pPr>
        <w:rPr>
          <w:rFonts w:asciiTheme="minorHAnsi" w:hAnsiTheme="minorHAnsi"/>
          <w:b/>
          <w:bCs/>
        </w:rPr>
      </w:pPr>
    </w:p>
    <w:p w14:paraId="590F9D8F" w14:textId="23B01AEE" w:rsidR="008C0AA0" w:rsidRDefault="008C0AA0" w:rsidP="008C0AA0">
      <w:r w:rsidRPr="00A15299">
        <w:rPr>
          <w:rFonts w:asciiTheme="minorHAnsi" w:hAnsiTheme="minorHAnsi"/>
          <w:color w:val="333333"/>
          <w:spacing w:val="2"/>
          <w:shd w:val="clear" w:color="auto" w:fill="FFFFFF"/>
        </w:rPr>
        <w:t>A dose of 3000 mg</w:t>
      </w:r>
      <w:r w:rsidR="00D35A8D">
        <w:rPr>
          <w:rFonts w:asciiTheme="minorHAnsi" w:hAnsiTheme="minorHAnsi"/>
          <w:color w:val="333333"/>
          <w:spacing w:val="2"/>
          <w:shd w:val="clear" w:color="auto" w:fill="FFFFFF"/>
        </w:rPr>
        <w:t xml:space="preserve"> </w:t>
      </w:r>
      <w:r w:rsidRPr="00A15299">
        <w:rPr>
          <w:rFonts w:asciiTheme="minorHAnsi" w:hAnsiTheme="minorHAnsi"/>
          <w:color w:val="333333"/>
          <w:spacing w:val="2"/>
          <w:shd w:val="clear" w:color="auto" w:fill="FFFFFF"/>
        </w:rPr>
        <w:t>l in adults and 2400 mg</w:t>
      </w:r>
      <w:r w:rsidR="00D35A8D">
        <w:rPr>
          <w:rFonts w:asciiTheme="minorHAnsi" w:hAnsiTheme="minorHAnsi"/>
          <w:color w:val="333333"/>
          <w:spacing w:val="2"/>
          <w:shd w:val="clear" w:color="auto" w:fill="FFFFFF"/>
        </w:rPr>
        <w:t xml:space="preserve"> </w:t>
      </w:r>
      <w:r w:rsidRPr="00A15299">
        <w:rPr>
          <w:rFonts w:asciiTheme="minorHAnsi" w:hAnsiTheme="minorHAnsi"/>
          <w:color w:val="333333"/>
          <w:spacing w:val="2"/>
          <w:shd w:val="clear" w:color="auto" w:fill="FFFFFF"/>
        </w:rPr>
        <w:t>l in children is sufficient for most myelographic procedures.</w:t>
      </w:r>
      <w:r w:rsidRPr="00A15299">
        <w:rPr>
          <w:rFonts w:asciiTheme="minorHAnsi" w:hAnsiTheme="minorHAnsi"/>
        </w:rPr>
        <w:t xml:space="preserve"> (</w:t>
      </w:r>
      <w:r>
        <w:rPr>
          <w:rFonts w:asciiTheme="minorHAnsi" w:hAnsiTheme="minorHAnsi"/>
          <w:i/>
          <w:iCs/>
        </w:rPr>
        <w:t>e.g.</w:t>
      </w:r>
      <w:r>
        <w:rPr>
          <w:rFonts w:asciiTheme="minorHAnsi" w:hAnsiTheme="minorHAnsi"/>
        </w:rPr>
        <w:t xml:space="preserve"> for adults less than 10 mL if using Om</w:t>
      </w:r>
      <w:r w:rsidR="00FA1C97">
        <w:rPr>
          <w:rFonts w:asciiTheme="minorHAnsi" w:hAnsiTheme="minorHAnsi"/>
        </w:rPr>
        <w:t>ni</w:t>
      </w:r>
      <w:r>
        <w:rPr>
          <w:rFonts w:asciiTheme="minorHAnsi" w:hAnsiTheme="minorHAnsi"/>
        </w:rPr>
        <w:t xml:space="preserve">paque 300 or Isovue-M 300). </w:t>
      </w:r>
      <w:r w:rsidRPr="00A15299">
        <w:rPr>
          <w:rFonts w:asciiTheme="minorHAnsi" w:hAnsiTheme="minorHAnsi"/>
          <w:color w:val="333333"/>
          <w:spacing w:val="2"/>
          <w:shd w:val="clear" w:color="auto" w:fill="FFFFFF"/>
        </w:rPr>
        <w:t xml:space="preserve">The usual recommended pediatric dose range for iopamidol </w:t>
      </w:r>
      <w:r>
        <w:rPr>
          <w:rFonts w:asciiTheme="minorHAnsi" w:hAnsiTheme="minorHAnsi"/>
          <w:color w:val="333333"/>
          <w:spacing w:val="2"/>
          <w:shd w:val="clear" w:color="auto" w:fill="FFFFFF"/>
        </w:rPr>
        <w:t xml:space="preserve">(Isovue-M) </w:t>
      </w:r>
      <w:r w:rsidRPr="00A15299">
        <w:rPr>
          <w:rFonts w:asciiTheme="minorHAnsi" w:hAnsiTheme="minorHAnsi"/>
          <w:color w:val="333333"/>
          <w:spacing w:val="2"/>
          <w:shd w:val="clear" w:color="auto" w:fill="FFFFFF"/>
        </w:rPr>
        <w:t>is 1400-2400 mg iodine. Iopamidol formulated to contain more than 200 mg</w:t>
      </w:r>
      <w:r w:rsidR="005F4CD4">
        <w:rPr>
          <w:rFonts w:asciiTheme="minorHAnsi" w:hAnsiTheme="minorHAnsi"/>
          <w:color w:val="333333"/>
          <w:spacing w:val="2"/>
          <w:shd w:val="clear" w:color="auto" w:fill="FFFFFF"/>
        </w:rPr>
        <w:t xml:space="preserve"> </w:t>
      </w:r>
      <w:r w:rsidRPr="00A15299">
        <w:rPr>
          <w:rFonts w:asciiTheme="minorHAnsi" w:hAnsiTheme="minorHAnsi"/>
          <w:color w:val="333333"/>
          <w:spacing w:val="2"/>
          <w:shd w:val="clear" w:color="auto" w:fill="FFFFFF"/>
        </w:rPr>
        <w:t>l/mL should not be used intrathecally in children</w:t>
      </w:r>
      <w:r>
        <w:rPr>
          <w:rFonts w:asciiTheme="minorHAnsi" w:hAnsiTheme="minorHAnsi"/>
          <w:color w:val="333333"/>
          <w:spacing w:val="2"/>
          <w:shd w:val="clear" w:color="auto" w:fill="FFFFFF"/>
        </w:rPr>
        <w:t>.</w:t>
      </w:r>
    </w:p>
    <w:p w14:paraId="7624A4E8" w14:textId="3C928856" w:rsidR="000B490B" w:rsidRDefault="000B490B">
      <w:pPr>
        <w:rPr>
          <w:rFonts w:asciiTheme="minorHAnsi" w:hAnsiTheme="minorHAnsi"/>
        </w:rPr>
      </w:pPr>
    </w:p>
    <w:p w14:paraId="5C852647" w14:textId="77777777" w:rsidR="00AD4969" w:rsidRPr="005468FB" w:rsidRDefault="00AD4969">
      <w:pPr>
        <w:rPr>
          <w:rFonts w:asciiTheme="minorHAnsi" w:hAnsiTheme="minorHAnsi"/>
        </w:rPr>
      </w:pPr>
    </w:p>
    <w:p w14:paraId="13775D73" w14:textId="77777777" w:rsidR="00735118" w:rsidRPr="005468FB" w:rsidRDefault="00882CAF">
      <w:pPr>
        <w:rPr>
          <w:rFonts w:asciiTheme="minorHAnsi" w:hAnsiTheme="minorHAnsi"/>
        </w:rPr>
      </w:pPr>
      <w:r w:rsidRPr="005468FB">
        <w:rPr>
          <w:rFonts w:asciiTheme="minorHAnsi" w:hAnsiTheme="minorHAnsi"/>
          <w:b/>
          <w:bCs/>
        </w:rPr>
        <w:t xml:space="preserve">Adult </w:t>
      </w:r>
    </w:p>
    <w:p w14:paraId="3AFF6C89" w14:textId="5E34C3E7" w:rsidR="00882CAF" w:rsidRPr="005468FB" w:rsidRDefault="00735118" w:rsidP="00735118">
      <w:pPr>
        <w:ind w:left="360"/>
        <w:rPr>
          <w:rFonts w:asciiTheme="minorHAnsi" w:hAnsiTheme="minorHAnsi"/>
        </w:rPr>
      </w:pPr>
      <w:r w:rsidRPr="005468FB">
        <w:rPr>
          <w:rFonts w:asciiTheme="minorHAnsi" w:hAnsiTheme="minorHAnsi"/>
        </w:rPr>
        <w:t>C</w:t>
      </w:r>
      <w:r w:rsidR="00882CAF" w:rsidRPr="005468FB">
        <w:rPr>
          <w:rFonts w:asciiTheme="minorHAnsi" w:hAnsiTheme="minorHAnsi"/>
        </w:rPr>
        <w:t xml:space="preserve">isternogram, cervical myelogram, </w:t>
      </w:r>
      <w:r w:rsidR="0041109F">
        <w:rPr>
          <w:rFonts w:asciiTheme="minorHAnsi" w:hAnsiTheme="minorHAnsi"/>
        </w:rPr>
        <w:t xml:space="preserve">thoracic myelogram, </w:t>
      </w:r>
      <w:r w:rsidR="00882CAF" w:rsidRPr="005468FB">
        <w:rPr>
          <w:rFonts w:asciiTheme="minorHAnsi" w:hAnsiTheme="minorHAnsi"/>
        </w:rPr>
        <w:t>and Full Spine myelography</w:t>
      </w:r>
    </w:p>
    <w:p w14:paraId="5538105F" w14:textId="77777777" w:rsidR="00735118" w:rsidRPr="005468FB" w:rsidRDefault="00735118" w:rsidP="00735118">
      <w:pPr>
        <w:ind w:left="360"/>
        <w:rPr>
          <w:rFonts w:asciiTheme="minorHAnsi" w:hAnsiTheme="minorHAnsi"/>
        </w:rPr>
      </w:pPr>
    </w:p>
    <w:p w14:paraId="31E42BC3" w14:textId="1A2DE443" w:rsidR="00882CAF" w:rsidRPr="005468FB" w:rsidRDefault="002737F0" w:rsidP="00837694">
      <w:pPr>
        <w:pStyle w:val="ListParagraph"/>
        <w:numPr>
          <w:ilvl w:val="0"/>
          <w:numId w:val="6"/>
        </w:numPr>
        <w:rPr>
          <w:rFonts w:asciiTheme="minorHAnsi" w:hAnsiTheme="minorHAnsi"/>
        </w:rPr>
      </w:pPr>
      <w:r>
        <w:rPr>
          <w:rFonts w:asciiTheme="minorHAnsi" w:hAnsiTheme="minorHAnsi"/>
        </w:rPr>
        <w:t>I</w:t>
      </w:r>
      <w:r w:rsidR="000B7D9C" w:rsidRPr="005468FB">
        <w:rPr>
          <w:rFonts w:asciiTheme="minorHAnsi" w:hAnsiTheme="minorHAnsi"/>
        </w:rPr>
        <w:t xml:space="preserve">ohexol (Omnipaque) 240 mg I / mL </w:t>
      </w:r>
      <w:r w:rsidR="000B7D9C">
        <w:rPr>
          <w:rFonts w:asciiTheme="minorHAnsi" w:hAnsiTheme="minorHAnsi"/>
        </w:rPr>
        <w:t xml:space="preserve">OR </w:t>
      </w:r>
      <w:r w:rsidR="00DD3671" w:rsidRPr="005468FB">
        <w:rPr>
          <w:rFonts w:asciiTheme="minorHAnsi" w:hAnsiTheme="minorHAnsi"/>
        </w:rPr>
        <w:t xml:space="preserve">iohexol </w:t>
      </w:r>
      <w:r w:rsidR="00882CAF" w:rsidRPr="005468FB">
        <w:rPr>
          <w:rFonts w:asciiTheme="minorHAnsi" w:hAnsiTheme="minorHAnsi"/>
        </w:rPr>
        <w:t xml:space="preserve">(Omnipaque) </w:t>
      </w:r>
      <w:r w:rsidR="00DD3671" w:rsidRPr="005468FB">
        <w:rPr>
          <w:rFonts w:asciiTheme="minorHAnsi" w:hAnsiTheme="minorHAnsi"/>
        </w:rPr>
        <w:t>300 mg I / mL</w:t>
      </w:r>
    </w:p>
    <w:p w14:paraId="6A820E97" w14:textId="1A6F074E" w:rsidR="00882CAF" w:rsidRPr="005468FB" w:rsidRDefault="002737F0" w:rsidP="00882CAF">
      <w:pPr>
        <w:pStyle w:val="ListParagraph"/>
        <w:numPr>
          <w:ilvl w:val="0"/>
          <w:numId w:val="6"/>
        </w:numPr>
        <w:rPr>
          <w:rFonts w:asciiTheme="minorHAnsi" w:hAnsiTheme="minorHAnsi"/>
        </w:rPr>
      </w:pPr>
      <w:r>
        <w:rPr>
          <w:rFonts w:asciiTheme="minorHAnsi" w:hAnsiTheme="minorHAnsi"/>
        </w:rPr>
        <w:t>I</w:t>
      </w:r>
      <w:r w:rsidR="00882CAF" w:rsidRPr="005468FB">
        <w:rPr>
          <w:rFonts w:asciiTheme="minorHAnsi" w:hAnsiTheme="minorHAnsi"/>
        </w:rPr>
        <w:t>opamidol (Isovue-M) 300 mg I / mL</w:t>
      </w:r>
    </w:p>
    <w:p w14:paraId="212FD5C6" w14:textId="77777777" w:rsidR="00882CAF" w:rsidRPr="005468FB" w:rsidRDefault="00882CAF" w:rsidP="00882CAF">
      <w:pPr>
        <w:pStyle w:val="ListParagraph"/>
        <w:rPr>
          <w:rFonts w:asciiTheme="minorHAnsi" w:hAnsiTheme="minorHAnsi"/>
        </w:rPr>
      </w:pPr>
    </w:p>
    <w:p w14:paraId="57102387" w14:textId="709F47F5" w:rsidR="00882CAF" w:rsidRPr="005468FB" w:rsidRDefault="00882CAF" w:rsidP="00735118">
      <w:pPr>
        <w:ind w:left="360"/>
        <w:rPr>
          <w:rFonts w:asciiTheme="minorHAnsi" w:hAnsiTheme="minorHAnsi"/>
        </w:rPr>
      </w:pPr>
      <w:r w:rsidRPr="005468FB">
        <w:rPr>
          <w:rFonts w:asciiTheme="minorHAnsi" w:hAnsiTheme="minorHAnsi"/>
        </w:rPr>
        <w:t>Adult lumbar myelography:</w:t>
      </w:r>
    </w:p>
    <w:p w14:paraId="21B151AB" w14:textId="7A690F9D" w:rsidR="00882CAF" w:rsidRPr="005468FB" w:rsidRDefault="00882CAF" w:rsidP="00882CAF">
      <w:pPr>
        <w:rPr>
          <w:rFonts w:asciiTheme="minorHAnsi" w:hAnsiTheme="minorHAnsi"/>
        </w:rPr>
      </w:pPr>
    </w:p>
    <w:p w14:paraId="3A370E77" w14:textId="1E56FA3E" w:rsidR="00882CAF" w:rsidRPr="005468FB" w:rsidRDefault="002737F0" w:rsidP="00882CAF">
      <w:pPr>
        <w:pStyle w:val="ListParagraph"/>
        <w:numPr>
          <w:ilvl w:val="0"/>
          <w:numId w:val="8"/>
        </w:numPr>
        <w:rPr>
          <w:rFonts w:asciiTheme="minorHAnsi" w:hAnsiTheme="minorHAnsi"/>
        </w:rPr>
      </w:pPr>
      <w:r>
        <w:rPr>
          <w:rFonts w:asciiTheme="minorHAnsi" w:hAnsiTheme="minorHAnsi"/>
        </w:rPr>
        <w:t>I</w:t>
      </w:r>
      <w:r w:rsidR="00882CAF" w:rsidRPr="005468FB">
        <w:rPr>
          <w:rFonts w:asciiTheme="minorHAnsi" w:hAnsiTheme="minorHAnsi"/>
        </w:rPr>
        <w:t xml:space="preserve">ohexol (Omnipaque) 180 mg I / mL OR iohexol (Omnipaque) 240 mg I / </w:t>
      </w:r>
      <w:r w:rsidR="005468FB" w:rsidRPr="005468FB">
        <w:rPr>
          <w:rFonts w:asciiTheme="minorHAnsi" w:hAnsiTheme="minorHAnsi"/>
        </w:rPr>
        <w:t>mL</w:t>
      </w:r>
    </w:p>
    <w:p w14:paraId="4D0494A3" w14:textId="2BAE30E1" w:rsidR="00882CAF" w:rsidRPr="005468FB" w:rsidRDefault="002953CC" w:rsidP="00882CAF">
      <w:pPr>
        <w:pStyle w:val="ListParagraph"/>
        <w:numPr>
          <w:ilvl w:val="0"/>
          <w:numId w:val="7"/>
        </w:numPr>
        <w:rPr>
          <w:rFonts w:asciiTheme="minorHAnsi" w:hAnsiTheme="minorHAnsi"/>
        </w:rPr>
      </w:pPr>
      <w:r>
        <w:rPr>
          <w:rFonts w:asciiTheme="minorHAnsi" w:hAnsiTheme="minorHAnsi"/>
        </w:rPr>
        <w:t>I</w:t>
      </w:r>
      <w:r w:rsidR="00882CAF" w:rsidRPr="005468FB">
        <w:rPr>
          <w:rFonts w:asciiTheme="minorHAnsi" w:hAnsiTheme="minorHAnsi"/>
        </w:rPr>
        <w:t>opamidol (Isovue-M) 200 mg I / mL</w:t>
      </w:r>
    </w:p>
    <w:p w14:paraId="5BF7FFCB" w14:textId="5C78D73D" w:rsidR="000B490B" w:rsidRPr="005468FB" w:rsidRDefault="000B490B" w:rsidP="000B490B">
      <w:pPr>
        <w:rPr>
          <w:rFonts w:asciiTheme="minorHAnsi" w:hAnsiTheme="minorHAnsi"/>
        </w:rPr>
      </w:pPr>
    </w:p>
    <w:p w14:paraId="22E62CA2" w14:textId="417824FD" w:rsidR="000B490B" w:rsidRDefault="000B490B" w:rsidP="000B490B">
      <w:pPr>
        <w:jc w:val="center"/>
        <w:rPr>
          <w:rFonts w:asciiTheme="minorHAnsi" w:hAnsiTheme="minorHAnsi"/>
        </w:rPr>
      </w:pPr>
      <w:r w:rsidRPr="005468FB">
        <w:rPr>
          <w:rFonts w:asciiTheme="minorHAnsi" w:hAnsiTheme="minorHAnsi"/>
          <w:noProof/>
        </w:rPr>
        <w:lastRenderedPageBreak/>
        <w:drawing>
          <wp:inline distT="0" distB="0" distL="0" distR="0" wp14:anchorId="2BABFD62" wp14:editId="02E5D85F">
            <wp:extent cx="4914900" cy="4056895"/>
            <wp:effectExtent l="0" t="0" r="0" b="127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88501" cy="4117648"/>
                    </a:xfrm>
                    <a:prstGeom prst="rect">
                      <a:avLst/>
                    </a:prstGeom>
                  </pic:spPr>
                </pic:pic>
              </a:graphicData>
            </a:graphic>
          </wp:inline>
        </w:drawing>
      </w:r>
    </w:p>
    <w:p w14:paraId="392FC9AA" w14:textId="2A6EF4FD" w:rsidR="00AA6902" w:rsidRPr="005468FB" w:rsidRDefault="00AA6902" w:rsidP="000B490B">
      <w:pPr>
        <w:jc w:val="center"/>
        <w:rPr>
          <w:rFonts w:asciiTheme="minorHAnsi" w:hAnsiTheme="minorHAnsi"/>
        </w:rPr>
      </w:pPr>
      <w:r>
        <w:rPr>
          <w:rFonts w:asciiTheme="minorHAnsi" w:hAnsiTheme="minorHAnsi"/>
        </w:rPr>
        <w:t>ISOVUE-M</w:t>
      </w:r>
    </w:p>
    <w:p w14:paraId="27C2B589" w14:textId="4C1D308E" w:rsidR="00020AFD" w:rsidRPr="005468FB" w:rsidRDefault="000B490B" w:rsidP="000B490B">
      <w:pPr>
        <w:jc w:val="center"/>
        <w:rPr>
          <w:rFonts w:asciiTheme="minorHAnsi" w:hAnsiTheme="minorHAnsi"/>
        </w:rPr>
      </w:pPr>
      <w:r w:rsidRPr="005468FB">
        <w:rPr>
          <w:rFonts w:asciiTheme="minorHAnsi" w:hAnsiTheme="minorHAnsi"/>
          <w:noProof/>
        </w:rPr>
        <w:drawing>
          <wp:inline distT="0" distB="0" distL="0" distR="0" wp14:anchorId="21D7058E" wp14:editId="282B8417">
            <wp:extent cx="4791075" cy="3944959"/>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71769" cy="4093742"/>
                    </a:xfrm>
                    <a:prstGeom prst="rect">
                      <a:avLst/>
                    </a:prstGeom>
                  </pic:spPr>
                </pic:pic>
              </a:graphicData>
            </a:graphic>
          </wp:inline>
        </w:drawing>
      </w:r>
    </w:p>
    <w:p w14:paraId="3634FA6E" w14:textId="191AC6F3" w:rsidR="00735118" w:rsidRPr="005468FB" w:rsidRDefault="00020AFD" w:rsidP="00020AFD">
      <w:pPr>
        <w:rPr>
          <w:rFonts w:asciiTheme="minorHAnsi" w:hAnsiTheme="minorHAnsi"/>
        </w:rPr>
      </w:pPr>
      <w:r w:rsidRPr="005468FB">
        <w:rPr>
          <w:rFonts w:asciiTheme="minorHAnsi" w:hAnsiTheme="minorHAnsi"/>
          <w:b/>
          <w:bCs/>
        </w:rPr>
        <w:lastRenderedPageBreak/>
        <w:t>Pediatric</w:t>
      </w:r>
      <w:r w:rsidR="00837694" w:rsidRPr="005468FB">
        <w:rPr>
          <w:rFonts w:asciiTheme="minorHAnsi" w:hAnsiTheme="minorHAnsi"/>
        </w:rPr>
        <w:t xml:space="preserve"> </w:t>
      </w:r>
    </w:p>
    <w:p w14:paraId="430AEB41" w14:textId="397BB25E" w:rsidR="00837694" w:rsidRPr="005468FB" w:rsidRDefault="00735118" w:rsidP="00020AFD">
      <w:pPr>
        <w:rPr>
          <w:rFonts w:asciiTheme="minorHAnsi" w:hAnsiTheme="minorHAnsi"/>
        </w:rPr>
      </w:pPr>
      <w:r w:rsidRPr="005468FB">
        <w:rPr>
          <w:rFonts w:asciiTheme="minorHAnsi" w:hAnsiTheme="minorHAnsi"/>
        </w:rPr>
        <w:t>All m</w:t>
      </w:r>
      <w:r w:rsidR="00837694" w:rsidRPr="005468FB">
        <w:rPr>
          <w:rFonts w:asciiTheme="minorHAnsi" w:hAnsiTheme="minorHAnsi"/>
        </w:rPr>
        <w:t>yelography procedures</w:t>
      </w:r>
    </w:p>
    <w:p w14:paraId="59769484" w14:textId="77777777" w:rsidR="00735118" w:rsidRPr="005468FB" w:rsidRDefault="00735118" w:rsidP="00020AFD">
      <w:pPr>
        <w:rPr>
          <w:rFonts w:asciiTheme="minorHAnsi" w:hAnsiTheme="minorHAnsi"/>
        </w:rPr>
      </w:pPr>
    </w:p>
    <w:p w14:paraId="6F61ECD0" w14:textId="13BC0828" w:rsidR="006C7C85" w:rsidRPr="005468FB" w:rsidRDefault="008D16B7" w:rsidP="00837694">
      <w:pPr>
        <w:pStyle w:val="ListParagraph"/>
        <w:numPr>
          <w:ilvl w:val="0"/>
          <w:numId w:val="7"/>
        </w:numPr>
        <w:rPr>
          <w:rFonts w:asciiTheme="minorHAnsi" w:hAnsiTheme="minorHAnsi"/>
        </w:rPr>
      </w:pPr>
      <w:r>
        <w:rPr>
          <w:rFonts w:asciiTheme="minorHAnsi" w:hAnsiTheme="minorHAnsi"/>
        </w:rPr>
        <w:t>I</w:t>
      </w:r>
      <w:r w:rsidR="00020AFD" w:rsidRPr="005468FB">
        <w:rPr>
          <w:rFonts w:asciiTheme="minorHAnsi" w:hAnsiTheme="minorHAnsi"/>
        </w:rPr>
        <w:t>ohexol (Omnipaque) 180 mg I /</w:t>
      </w:r>
      <w:r w:rsidR="00C71DCC">
        <w:rPr>
          <w:rFonts w:asciiTheme="minorHAnsi" w:hAnsiTheme="minorHAnsi"/>
        </w:rPr>
        <w:t xml:space="preserve"> mL</w:t>
      </w:r>
    </w:p>
    <w:p w14:paraId="3377CF35" w14:textId="38C7B657" w:rsidR="000B490B" w:rsidRPr="005468FB" w:rsidRDefault="008D16B7" w:rsidP="00837694">
      <w:pPr>
        <w:pStyle w:val="ListParagraph"/>
        <w:numPr>
          <w:ilvl w:val="0"/>
          <w:numId w:val="7"/>
        </w:numPr>
        <w:rPr>
          <w:rFonts w:asciiTheme="minorHAnsi" w:hAnsiTheme="minorHAnsi"/>
        </w:rPr>
      </w:pPr>
      <w:r>
        <w:rPr>
          <w:rFonts w:asciiTheme="minorHAnsi" w:hAnsiTheme="minorHAnsi"/>
        </w:rPr>
        <w:t>I</w:t>
      </w:r>
      <w:r w:rsidR="000B490B" w:rsidRPr="005468FB">
        <w:rPr>
          <w:rFonts w:asciiTheme="minorHAnsi" w:hAnsiTheme="minorHAnsi"/>
        </w:rPr>
        <w:t>opamidol (Isovue-M) 200 mg I / mL</w:t>
      </w:r>
    </w:p>
    <w:p w14:paraId="1150BCB5" w14:textId="77777777" w:rsidR="00837694" w:rsidRPr="005468FB" w:rsidRDefault="00837694" w:rsidP="00837694">
      <w:pPr>
        <w:pStyle w:val="ListParagraph"/>
        <w:rPr>
          <w:rFonts w:asciiTheme="minorHAnsi" w:hAnsiTheme="minorHAnsi"/>
        </w:rPr>
      </w:pPr>
    </w:p>
    <w:p w14:paraId="60612F89" w14:textId="370EBF71" w:rsidR="00020AFD" w:rsidRPr="005468FB" w:rsidRDefault="00837694" w:rsidP="00837694">
      <w:pPr>
        <w:jc w:val="center"/>
        <w:rPr>
          <w:rFonts w:asciiTheme="minorHAnsi" w:hAnsiTheme="minorHAnsi"/>
        </w:rPr>
      </w:pPr>
      <w:r w:rsidRPr="005468FB">
        <w:rPr>
          <w:rFonts w:asciiTheme="minorHAnsi" w:hAnsiTheme="minorHAnsi"/>
          <w:noProof/>
        </w:rPr>
        <w:drawing>
          <wp:inline distT="0" distB="0" distL="0" distR="0" wp14:anchorId="60F496DD" wp14:editId="5B1CEC02">
            <wp:extent cx="5357935" cy="4619502"/>
            <wp:effectExtent l="0" t="0" r="1905" b="381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8443" cy="4628562"/>
                    </a:xfrm>
                    <a:prstGeom prst="rect">
                      <a:avLst/>
                    </a:prstGeom>
                  </pic:spPr>
                </pic:pic>
              </a:graphicData>
            </a:graphic>
          </wp:inline>
        </w:drawing>
      </w:r>
    </w:p>
    <w:p w14:paraId="4BD31B41" w14:textId="77777777" w:rsidR="000B490B" w:rsidRPr="005468FB" w:rsidRDefault="000B490B" w:rsidP="00837694">
      <w:pPr>
        <w:jc w:val="center"/>
        <w:rPr>
          <w:rFonts w:asciiTheme="minorHAnsi" w:hAnsiTheme="minorHAnsi"/>
        </w:rPr>
      </w:pPr>
    </w:p>
    <w:p w14:paraId="172113CD" w14:textId="7CC97835" w:rsidR="006C7C85" w:rsidRPr="005468FB" w:rsidRDefault="000B490B" w:rsidP="000B490B">
      <w:pPr>
        <w:jc w:val="center"/>
        <w:rPr>
          <w:rFonts w:asciiTheme="minorHAnsi" w:hAnsiTheme="minorHAnsi"/>
        </w:rPr>
      </w:pPr>
      <w:r w:rsidRPr="005468FB">
        <w:rPr>
          <w:rFonts w:asciiTheme="minorHAnsi" w:hAnsiTheme="minorHAnsi"/>
          <w:noProof/>
        </w:rPr>
        <w:drawing>
          <wp:inline distT="0" distB="0" distL="0" distR="0" wp14:anchorId="14BF36E3" wp14:editId="11317B0A">
            <wp:extent cx="4991294" cy="2000250"/>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77314" cy="2034722"/>
                    </a:xfrm>
                    <a:prstGeom prst="rect">
                      <a:avLst/>
                    </a:prstGeom>
                  </pic:spPr>
                </pic:pic>
              </a:graphicData>
            </a:graphic>
          </wp:inline>
        </w:drawing>
      </w:r>
    </w:p>
    <w:p w14:paraId="548AB181" w14:textId="2C31993E" w:rsidR="000B490B" w:rsidRPr="005468FB" w:rsidRDefault="000B490B" w:rsidP="000B490B">
      <w:pPr>
        <w:rPr>
          <w:rFonts w:asciiTheme="minorHAnsi" w:hAnsiTheme="minorHAnsi"/>
        </w:rPr>
      </w:pPr>
    </w:p>
    <w:p w14:paraId="2508977C" w14:textId="49F60C5F" w:rsidR="005468FB" w:rsidRPr="005468FB" w:rsidRDefault="00F365F6" w:rsidP="000B490B">
      <w:pPr>
        <w:rPr>
          <w:rFonts w:asciiTheme="minorHAnsi" w:hAnsiTheme="minorHAnsi"/>
          <w:color w:val="000000" w:themeColor="text1"/>
          <w:sz w:val="28"/>
          <w:szCs w:val="28"/>
        </w:rPr>
      </w:pPr>
      <w:r>
        <w:rPr>
          <w:rFonts w:asciiTheme="minorHAnsi" w:hAnsiTheme="minorHAnsi"/>
          <w:color w:val="000000" w:themeColor="text1"/>
          <w:sz w:val="28"/>
          <w:szCs w:val="28"/>
        </w:rPr>
        <w:lastRenderedPageBreak/>
        <w:t>Medication P</w:t>
      </w:r>
      <w:r w:rsidR="000B490B" w:rsidRPr="005468FB">
        <w:rPr>
          <w:rFonts w:asciiTheme="minorHAnsi" w:hAnsiTheme="minorHAnsi"/>
          <w:color w:val="000000" w:themeColor="text1"/>
          <w:sz w:val="28"/>
          <w:szCs w:val="28"/>
        </w:rPr>
        <w:t xml:space="preserve">ackage </w:t>
      </w:r>
      <w:r>
        <w:rPr>
          <w:rFonts w:asciiTheme="minorHAnsi" w:hAnsiTheme="minorHAnsi"/>
          <w:color w:val="000000" w:themeColor="text1"/>
          <w:sz w:val="28"/>
          <w:szCs w:val="28"/>
        </w:rPr>
        <w:t>Safety</w:t>
      </w:r>
      <w:r w:rsidR="000B490B" w:rsidRPr="005468FB">
        <w:rPr>
          <w:rFonts w:asciiTheme="minorHAnsi" w:hAnsiTheme="minorHAnsi"/>
          <w:color w:val="000000" w:themeColor="text1"/>
          <w:sz w:val="28"/>
          <w:szCs w:val="28"/>
        </w:rPr>
        <w:t xml:space="preserve"> </w:t>
      </w:r>
    </w:p>
    <w:p w14:paraId="14CDB112" w14:textId="6097B633" w:rsidR="000B490B" w:rsidRPr="005468FB" w:rsidRDefault="005468FB" w:rsidP="000B490B">
      <w:pPr>
        <w:rPr>
          <w:rFonts w:asciiTheme="minorHAnsi" w:hAnsiTheme="minorHAnsi"/>
        </w:rPr>
      </w:pPr>
      <w:r w:rsidRPr="005468FB">
        <w:rPr>
          <w:rFonts w:asciiTheme="minorHAnsi" w:hAnsiTheme="minorHAnsi"/>
        </w:rPr>
        <w:t>P</w:t>
      </w:r>
      <w:r w:rsidR="000B490B" w:rsidRPr="005468FB">
        <w:rPr>
          <w:rFonts w:asciiTheme="minorHAnsi" w:hAnsiTheme="minorHAnsi"/>
        </w:rPr>
        <w:t>harmacology, indications and use, dose and administration, and adverse reactions</w:t>
      </w:r>
      <w:r w:rsidR="00F365F6">
        <w:rPr>
          <w:rFonts w:asciiTheme="minorHAnsi" w:hAnsiTheme="minorHAnsi"/>
        </w:rPr>
        <w:t xml:space="preserve"> can be found below.</w:t>
      </w:r>
    </w:p>
    <w:p w14:paraId="320EB08B" w14:textId="77777777" w:rsidR="000B490B" w:rsidRPr="005468FB" w:rsidRDefault="000B490B" w:rsidP="000B490B">
      <w:pPr>
        <w:rPr>
          <w:rFonts w:asciiTheme="minorHAnsi" w:hAnsiTheme="minorHAnsi"/>
        </w:rPr>
      </w:pPr>
    </w:p>
    <w:p w14:paraId="78979664" w14:textId="77777777" w:rsidR="000B490B" w:rsidRPr="005468FB" w:rsidRDefault="000B490B" w:rsidP="000B490B">
      <w:pPr>
        <w:pStyle w:val="ListParagraph"/>
        <w:numPr>
          <w:ilvl w:val="0"/>
          <w:numId w:val="9"/>
        </w:numPr>
        <w:rPr>
          <w:rFonts w:asciiTheme="minorHAnsi" w:hAnsiTheme="minorHAnsi"/>
        </w:rPr>
      </w:pPr>
      <w:r w:rsidRPr="005468FB">
        <w:rPr>
          <w:rFonts w:asciiTheme="minorHAnsi" w:hAnsiTheme="minorHAnsi"/>
          <w:b/>
          <w:bCs/>
        </w:rPr>
        <w:t>Isovue</w:t>
      </w:r>
      <w:r w:rsidRPr="005468FB">
        <w:rPr>
          <w:rFonts w:asciiTheme="minorHAnsi" w:hAnsiTheme="minorHAnsi"/>
        </w:rPr>
        <w:t>: https://medlibrary.org/lib/rx/meds/isovue-m-1/</w:t>
      </w:r>
    </w:p>
    <w:p w14:paraId="6A71689F" w14:textId="77777777" w:rsidR="000B490B" w:rsidRPr="005468FB" w:rsidRDefault="000B490B" w:rsidP="007F6497">
      <w:pPr>
        <w:rPr>
          <w:rFonts w:asciiTheme="minorHAnsi" w:hAnsiTheme="minorHAnsi"/>
        </w:rPr>
      </w:pPr>
    </w:p>
    <w:p w14:paraId="1BC783FD" w14:textId="77777777" w:rsidR="000B490B" w:rsidRPr="005468FB" w:rsidRDefault="000B490B" w:rsidP="000B490B">
      <w:pPr>
        <w:pStyle w:val="ListParagraph"/>
        <w:numPr>
          <w:ilvl w:val="0"/>
          <w:numId w:val="9"/>
        </w:numPr>
        <w:rPr>
          <w:rFonts w:asciiTheme="minorHAnsi" w:hAnsiTheme="minorHAnsi"/>
        </w:rPr>
      </w:pPr>
      <w:r w:rsidRPr="005468FB">
        <w:rPr>
          <w:rFonts w:asciiTheme="minorHAnsi" w:hAnsiTheme="minorHAnsi"/>
          <w:b/>
          <w:bCs/>
        </w:rPr>
        <w:t>Omnipaque</w:t>
      </w:r>
      <w:r w:rsidRPr="005468FB">
        <w:rPr>
          <w:rFonts w:asciiTheme="minorHAnsi" w:hAnsiTheme="minorHAnsi"/>
        </w:rPr>
        <w:t>: https://medlibrary.org/lib/rx/meds/omnipaque/</w:t>
      </w:r>
    </w:p>
    <w:p w14:paraId="7FE634F7" w14:textId="3D8AD5CD" w:rsidR="0092444C" w:rsidRDefault="0092444C">
      <w:pPr>
        <w:rPr>
          <w:rFonts w:asciiTheme="minorHAnsi" w:hAnsiTheme="minorHAnsi"/>
        </w:rPr>
      </w:pPr>
    </w:p>
    <w:p w14:paraId="1238ECDF" w14:textId="77777777" w:rsidR="0092444C" w:rsidRDefault="0092444C">
      <w:pPr>
        <w:rPr>
          <w:rFonts w:asciiTheme="minorHAnsi" w:hAnsiTheme="minorHAnsi"/>
        </w:rPr>
      </w:pPr>
    </w:p>
    <w:p w14:paraId="5535F808" w14:textId="4AEC5DDC" w:rsidR="006D18EA" w:rsidRDefault="006D18EA">
      <w:pPr>
        <w:rPr>
          <w:rFonts w:asciiTheme="minorHAnsi" w:hAnsiTheme="minorHAnsi"/>
        </w:rPr>
      </w:pPr>
    </w:p>
    <w:p w14:paraId="43FB09AB" w14:textId="2CE3E0DC" w:rsidR="0092444C" w:rsidRPr="0092444C" w:rsidRDefault="006D18EA">
      <w:pPr>
        <w:rPr>
          <w:rFonts w:asciiTheme="minorHAnsi" w:hAnsiTheme="minorHAnsi"/>
          <w:sz w:val="28"/>
          <w:szCs w:val="28"/>
          <w:vertAlign w:val="superscript"/>
        </w:rPr>
      </w:pPr>
      <w:r w:rsidRPr="006D18EA">
        <w:rPr>
          <w:rFonts w:asciiTheme="minorHAnsi" w:hAnsiTheme="minorHAnsi"/>
          <w:sz w:val="28"/>
          <w:szCs w:val="28"/>
        </w:rPr>
        <w:t>Risks of Myelography</w:t>
      </w:r>
      <w:r w:rsidR="0092444C">
        <w:rPr>
          <w:rFonts w:asciiTheme="minorHAnsi" w:hAnsiTheme="minorHAnsi"/>
          <w:sz w:val="28"/>
          <w:szCs w:val="28"/>
          <w:vertAlign w:val="superscript"/>
        </w:rPr>
        <w:t>4</w:t>
      </w:r>
    </w:p>
    <w:p w14:paraId="573961C2" w14:textId="77777777" w:rsidR="0092444C" w:rsidRDefault="0092444C">
      <w:pPr>
        <w:rPr>
          <w:rFonts w:asciiTheme="minorHAnsi" w:hAnsiTheme="minorHAnsi"/>
        </w:rPr>
      </w:pPr>
    </w:p>
    <w:p w14:paraId="654D66DC" w14:textId="779B30E2" w:rsidR="0092444C" w:rsidRDefault="0092444C">
      <w:pPr>
        <w:rPr>
          <w:rFonts w:asciiTheme="minorHAnsi" w:hAnsiTheme="minorHAnsi"/>
        </w:rPr>
      </w:pPr>
      <w:r w:rsidRPr="0092444C">
        <w:rPr>
          <w:rFonts w:asciiTheme="minorHAnsi" w:hAnsiTheme="minorHAnsi"/>
        </w:rPr>
        <w:t>The following table of incidence of reactions is based on clinical studies with ISOVUE-M (lopamidol Injection) in about 686 patients.</w:t>
      </w:r>
    </w:p>
    <w:p w14:paraId="17AF40D2" w14:textId="77777777" w:rsidR="0092444C" w:rsidRDefault="0092444C">
      <w:pPr>
        <w:rPr>
          <w:rFonts w:asciiTheme="minorHAnsi" w:hAnsiTheme="minorHAnsi"/>
        </w:rPr>
      </w:pPr>
    </w:p>
    <w:p w14:paraId="7B08341F" w14:textId="77777777" w:rsidR="0092444C" w:rsidRDefault="0092444C">
      <w:pPr>
        <w:rPr>
          <w:rFonts w:asciiTheme="minorHAnsi" w:hAnsiTheme="minorHAnsi"/>
        </w:rPr>
      </w:pPr>
    </w:p>
    <w:tbl>
      <w:tblPr>
        <w:tblW w:w="3782" w:type="dxa"/>
        <w:jc w:val="center"/>
        <w:tblLook w:val="04A0" w:firstRow="1" w:lastRow="0" w:firstColumn="1" w:lastColumn="0" w:noHBand="0" w:noVBand="1"/>
      </w:tblPr>
      <w:tblGrid>
        <w:gridCol w:w="2591"/>
        <w:gridCol w:w="1191"/>
      </w:tblGrid>
      <w:tr w:rsidR="0092444C" w14:paraId="1F6955FF" w14:textId="77777777" w:rsidTr="0092444C">
        <w:trPr>
          <w:trHeight w:val="401"/>
          <w:jc w:val="center"/>
        </w:trPr>
        <w:tc>
          <w:tcPr>
            <w:tcW w:w="378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2B4E58" w14:textId="77777777" w:rsidR="0092444C" w:rsidRPr="0092444C" w:rsidRDefault="0092444C">
            <w:pPr>
              <w:jc w:val="center"/>
              <w:rPr>
                <w:rFonts w:ascii="Calibri" w:hAnsi="Calibri"/>
                <w:color w:val="000000"/>
                <w:sz w:val="28"/>
                <w:szCs w:val="28"/>
              </w:rPr>
            </w:pPr>
            <w:r w:rsidRPr="0092444C">
              <w:rPr>
                <w:rFonts w:ascii="Calibri" w:hAnsi="Calibri"/>
                <w:color w:val="000000"/>
                <w:sz w:val="28"/>
                <w:szCs w:val="28"/>
              </w:rPr>
              <w:t>Isovue-M Adverse Reactions</w:t>
            </w:r>
          </w:p>
        </w:tc>
      </w:tr>
      <w:tr w:rsidR="0092444C" w14:paraId="41A5C815" w14:textId="77777777" w:rsidTr="0092444C">
        <w:trPr>
          <w:trHeight w:val="321"/>
          <w:jc w:val="center"/>
        </w:trPr>
        <w:tc>
          <w:tcPr>
            <w:tcW w:w="2591" w:type="dxa"/>
            <w:tcBorders>
              <w:top w:val="nil"/>
              <w:left w:val="single" w:sz="8" w:space="0" w:color="auto"/>
              <w:bottom w:val="single" w:sz="4" w:space="0" w:color="auto"/>
              <w:right w:val="single" w:sz="4" w:space="0" w:color="auto"/>
            </w:tcBorders>
            <w:shd w:val="clear" w:color="auto" w:fill="auto"/>
            <w:noWrap/>
            <w:vAlign w:val="center"/>
            <w:hideMark/>
          </w:tcPr>
          <w:p w14:paraId="2714CAD1" w14:textId="77777777" w:rsidR="0092444C" w:rsidRDefault="0092444C">
            <w:pPr>
              <w:jc w:val="center"/>
              <w:rPr>
                <w:rFonts w:ascii="Calibri" w:hAnsi="Calibri"/>
                <w:color w:val="000000"/>
              </w:rPr>
            </w:pPr>
            <w:r>
              <w:rPr>
                <w:rFonts w:ascii="Calibri" w:hAnsi="Calibri"/>
                <w:color w:val="000000"/>
              </w:rPr>
              <w:t>Headache</w:t>
            </w:r>
          </w:p>
        </w:tc>
        <w:tc>
          <w:tcPr>
            <w:tcW w:w="1190" w:type="dxa"/>
            <w:tcBorders>
              <w:top w:val="nil"/>
              <w:left w:val="nil"/>
              <w:bottom w:val="single" w:sz="4" w:space="0" w:color="auto"/>
              <w:right w:val="single" w:sz="8" w:space="0" w:color="auto"/>
            </w:tcBorders>
            <w:shd w:val="clear" w:color="auto" w:fill="auto"/>
            <w:noWrap/>
            <w:vAlign w:val="center"/>
            <w:hideMark/>
          </w:tcPr>
          <w:p w14:paraId="63B569B9" w14:textId="77777777" w:rsidR="0092444C" w:rsidRDefault="0092444C">
            <w:pPr>
              <w:jc w:val="center"/>
              <w:rPr>
                <w:rFonts w:ascii="Calibri" w:hAnsi="Calibri"/>
                <w:color w:val="000000"/>
              </w:rPr>
            </w:pPr>
            <w:r>
              <w:rPr>
                <w:rFonts w:ascii="Calibri" w:hAnsi="Calibri"/>
                <w:color w:val="000000"/>
              </w:rPr>
              <w:t>16.4</w:t>
            </w:r>
          </w:p>
        </w:tc>
      </w:tr>
      <w:tr w:rsidR="0092444C" w14:paraId="19E23F3B" w14:textId="77777777" w:rsidTr="0092444C">
        <w:trPr>
          <w:trHeight w:val="321"/>
          <w:jc w:val="center"/>
        </w:trPr>
        <w:tc>
          <w:tcPr>
            <w:tcW w:w="2591" w:type="dxa"/>
            <w:tcBorders>
              <w:top w:val="nil"/>
              <w:left w:val="single" w:sz="8" w:space="0" w:color="auto"/>
              <w:bottom w:val="single" w:sz="4" w:space="0" w:color="auto"/>
              <w:right w:val="single" w:sz="4" w:space="0" w:color="auto"/>
            </w:tcBorders>
            <w:shd w:val="clear" w:color="auto" w:fill="auto"/>
            <w:noWrap/>
            <w:vAlign w:val="center"/>
            <w:hideMark/>
          </w:tcPr>
          <w:p w14:paraId="0FF99A5C" w14:textId="77777777" w:rsidR="0092444C" w:rsidRDefault="0092444C">
            <w:pPr>
              <w:jc w:val="center"/>
              <w:rPr>
                <w:rFonts w:ascii="Calibri" w:hAnsi="Calibri"/>
                <w:color w:val="000000"/>
              </w:rPr>
            </w:pPr>
            <w:r>
              <w:rPr>
                <w:rFonts w:ascii="Calibri" w:hAnsi="Calibri"/>
                <w:color w:val="000000"/>
              </w:rPr>
              <w:t>Nausea</w:t>
            </w:r>
          </w:p>
        </w:tc>
        <w:tc>
          <w:tcPr>
            <w:tcW w:w="1190" w:type="dxa"/>
            <w:tcBorders>
              <w:top w:val="nil"/>
              <w:left w:val="nil"/>
              <w:bottom w:val="single" w:sz="4" w:space="0" w:color="auto"/>
              <w:right w:val="single" w:sz="8" w:space="0" w:color="auto"/>
            </w:tcBorders>
            <w:shd w:val="clear" w:color="auto" w:fill="auto"/>
            <w:noWrap/>
            <w:vAlign w:val="center"/>
            <w:hideMark/>
          </w:tcPr>
          <w:p w14:paraId="75A36EE5" w14:textId="77777777" w:rsidR="0092444C" w:rsidRDefault="0092444C">
            <w:pPr>
              <w:jc w:val="center"/>
              <w:rPr>
                <w:rFonts w:ascii="Calibri" w:hAnsi="Calibri"/>
                <w:color w:val="000000"/>
              </w:rPr>
            </w:pPr>
            <w:r>
              <w:rPr>
                <w:rFonts w:ascii="Calibri" w:hAnsi="Calibri"/>
                <w:color w:val="000000"/>
              </w:rPr>
              <w:t>7.3</w:t>
            </w:r>
          </w:p>
        </w:tc>
      </w:tr>
      <w:tr w:rsidR="0092444C" w14:paraId="28AD3641" w14:textId="77777777" w:rsidTr="0092444C">
        <w:trPr>
          <w:trHeight w:val="321"/>
          <w:jc w:val="center"/>
        </w:trPr>
        <w:tc>
          <w:tcPr>
            <w:tcW w:w="2591" w:type="dxa"/>
            <w:tcBorders>
              <w:top w:val="nil"/>
              <w:left w:val="single" w:sz="8" w:space="0" w:color="auto"/>
              <w:bottom w:val="single" w:sz="4" w:space="0" w:color="auto"/>
              <w:right w:val="single" w:sz="4" w:space="0" w:color="auto"/>
            </w:tcBorders>
            <w:shd w:val="clear" w:color="auto" w:fill="auto"/>
            <w:noWrap/>
            <w:vAlign w:val="center"/>
            <w:hideMark/>
          </w:tcPr>
          <w:p w14:paraId="17A06D9D" w14:textId="1A48D835" w:rsidR="0092444C" w:rsidRDefault="0092444C">
            <w:pPr>
              <w:jc w:val="center"/>
              <w:rPr>
                <w:rFonts w:ascii="Calibri" w:hAnsi="Calibri"/>
                <w:color w:val="000000"/>
              </w:rPr>
            </w:pPr>
            <w:r>
              <w:rPr>
                <w:rFonts w:ascii="Calibri" w:hAnsi="Calibri"/>
                <w:color w:val="000000"/>
              </w:rPr>
              <w:t>Vomiting</w:t>
            </w:r>
          </w:p>
        </w:tc>
        <w:tc>
          <w:tcPr>
            <w:tcW w:w="1190" w:type="dxa"/>
            <w:tcBorders>
              <w:top w:val="nil"/>
              <w:left w:val="nil"/>
              <w:bottom w:val="single" w:sz="4" w:space="0" w:color="auto"/>
              <w:right w:val="single" w:sz="8" w:space="0" w:color="auto"/>
            </w:tcBorders>
            <w:shd w:val="clear" w:color="auto" w:fill="auto"/>
            <w:noWrap/>
            <w:vAlign w:val="center"/>
            <w:hideMark/>
          </w:tcPr>
          <w:p w14:paraId="0099D5D6" w14:textId="77777777" w:rsidR="0092444C" w:rsidRDefault="0092444C">
            <w:pPr>
              <w:jc w:val="center"/>
              <w:rPr>
                <w:rFonts w:ascii="Calibri" w:hAnsi="Calibri"/>
                <w:color w:val="000000"/>
              </w:rPr>
            </w:pPr>
            <w:r>
              <w:rPr>
                <w:rFonts w:ascii="Calibri" w:hAnsi="Calibri"/>
                <w:color w:val="000000"/>
              </w:rPr>
              <w:t>3.6</w:t>
            </w:r>
          </w:p>
        </w:tc>
      </w:tr>
      <w:tr w:rsidR="0092444C" w14:paraId="4B17023C" w14:textId="77777777" w:rsidTr="0092444C">
        <w:trPr>
          <w:trHeight w:val="321"/>
          <w:jc w:val="center"/>
        </w:trPr>
        <w:tc>
          <w:tcPr>
            <w:tcW w:w="2591" w:type="dxa"/>
            <w:tcBorders>
              <w:top w:val="nil"/>
              <w:left w:val="single" w:sz="8" w:space="0" w:color="auto"/>
              <w:bottom w:val="single" w:sz="4" w:space="0" w:color="auto"/>
              <w:right w:val="single" w:sz="4" w:space="0" w:color="auto"/>
            </w:tcBorders>
            <w:shd w:val="clear" w:color="auto" w:fill="auto"/>
            <w:noWrap/>
            <w:vAlign w:val="center"/>
            <w:hideMark/>
          </w:tcPr>
          <w:p w14:paraId="18072858" w14:textId="77777777" w:rsidR="0092444C" w:rsidRDefault="0092444C">
            <w:pPr>
              <w:jc w:val="center"/>
              <w:rPr>
                <w:rFonts w:ascii="Calibri" w:hAnsi="Calibri"/>
                <w:color w:val="000000"/>
              </w:rPr>
            </w:pPr>
            <w:r>
              <w:rPr>
                <w:rFonts w:ascii="Calibri" w:hAnsi="Calibri"/>
                <w:color w:val="000000"/>
              </w:rPr>
              <w:t>Back Pain</w:t>
            </w:r>
          </w:p>
        </w:tc>
        <w:tc>
          <w:tcPr>
            <w:tcW w:w="1190" w:type="dxa"/>
            <w:tcBorders>
              <w:top w:val="nil"/>
              <w:left w:val="nil"/>
              <w:bottom w:val="single" w:sz="4" w:space="0" w:color="auto"/>
              <w:right w:val="single" w:sz="8" w:space="0" w:color="auto"/>
            </w:tcBorders>
            <w:shd w:val="clear" w:color="auto" w:fill="auto"/>
            <w:noWrap/>
            <w:vAlign w:val="center"/>
            <w:hideMark/>
          </w:tcPr>
          <w:p w14:paraId="65A376F2" w14:textId="77777777" w:rsidR="0092444C" w:rsidRDefault="0092444C">
            <w:pPr>
              <w:jc w:val="center"/>
              <w:rPr>
                <w:rFonts w:ascii="Calibri" w:hAnsi="Calibri"/>
                <w:color w:val="000000"/>
              </w:rPr>
            </w:pPr>
            <w:r>
              <w:rPr>
                <w:rFonts w:ascii="Calibri" w:hAnsi="Calibri"/>
                <w:color w:val="000000"/>
              </w:rPr>
              <w:t>2.2</w:t>
            </w:r>
          </w:p>
        </w:tc>
      </w:tr>
      <w:tr w:rsidR="0092444C" w14:paraId="7487D2F6" w14:textId="77777777" w:rsidTr="0092444C">
        <w:trPr>
          <w:trHeight w:val="321"/>
          <w:jc w:val="center"/>
        </w:trPr>
        <w:tc>
          <w:tcPr>
            <w:tcW w:w="2591" w:type="dxa"/>
            <w:tcBorders>
              <w:top w:val="nil"/>
              <w:left w:val="single" w:sz="8" w:space="0" w:color="auto"/>
              <w:bottom w:val="single" w:sz="4" w:space="0" w:color="auto"/>
              <w:right w:val="single" w:sz="4" w:space="0" w:color="auto"/>
            </w:tcBorders>
            <w:shd w:val="clear" w:color="auto" w:fill="auto"/>
            <w:noWrap/>
            <w:vAlign w:val="center"/>
            <w:hideMark/>
          </w:tcPr>
          <w:p w14:paraId="4CBD918F" w14:textId="77777777" w:rsidR="0092444C" w:rsidRDefault="0092444C">
            <w:pPr>
              <w:jc w:val="center"/>
              <w:rPr>
                <w:rFonts w:ascii="Calibri" w:hAnsi="Calibri"/>
                <w:color w:val="000000"/>
              </w:rPr>
            </w:pPr>
            <w:r>
              <w:rPr>
                <w:rFonts w:ascii="Calibri" w:hAnsi="Calibri"/>
                <w:color w:val="000000"/>
              </w:rPr>
              <w:t>Leg Pain</w:t>
            </w:r>
          </w:p>
        </w:tc>
        <w:tc>
          <w:tcPr>
            <w:tcW w:w="1190" w:type="dxa"/>
            <w:tcBorders>
              <w:top w:val="nil"/>
              <w:left w:val="nil"/>
              <w:bottom w:val="single" w:sz="4" w:space="0" w:color="auto"/>
              <w:right w:val="single" w:sz="8" w:space="0" w:color="auto"/>
            </w:tcBorders>
            <w:shd w:val="clear" w:color="auto" w:fill="auto"/>
            <w:noWrap/>
            <w:vAlign w:val="center"/>
            <w:hideMark/>
          </w:tcPr>
          <w:p w14:paraId="1F860C05" w14:textId="77777777" w:rsidR="0092444C" w:rsidRDefault="0092444C">
            <w:pPr>
              <w:jc w:val="center"/>
              <w:rPr>
                <w:rFonts w:ascii="Calibri" w:hAnsi="Calibri"/>
                <w:color w:val="000000"/>
              </w:rPr>
            </w:pPr>
            <w:r>
              <w:rPr>
                <w:rFonts w:ascii="Calibri" w:hAnsi="Calibri"/>
                <w:color w:val="000000"/>
              </w:rPr>
              <w:t>1.4</w:t>
            </w:r>
          </w:p>
        </w:tc>
      </w:tr>
      <w:tr w:rsidR="0092444C" w14:paraId="373619DF" w14:textId="77777777" w:rsidTr="0092444C">
        <w:trPr>
          <w:trHeight w:val="321"/>
          <w:jc w:val="center"/>
        </w:trPr>
        <w:tc>
          <w:tcPr>
            <w:tcW w:w="2591" w:type="dxa"/>
            <w:tcBorders>
              <w:top w:val="nil"/>
              <w:left w:val="single" w:sz="8" w:space="0" w:color="auto"/>
              <w:bottom w:val="single" w:sz="4" w:space="0" w:color="auto"/>
              <w:right w:val="single" w:sz="4" w:space="0" w:color="auto"/>
            </w:tcBorders>
            <w:shd w:val="clear" w:color="auto" w:fill="auto"/>
            <w:noWrap/>
            <w:vAlign w:val="center"/>
            <w:hideMark/>
          </w:tcPr>
          <w:p w14:paraId="19B51B95" w14:textId="77777777" w:rsidR="0092444C" w:rsidRDefault="0092444C">
            <w:pPr>
              <w:jc w:val="center"/>
              <w:rPr>
                <w:rFonts w:ascii="Calibri" w:hAnsi="Calibri"/>
                <w:color w:val="000000"/>
              </w:rPr>
            </w:pPr>
            <w:r>
              <w:rPr>
                <w:rFonts w:ascii="Calibri" w:hAnsi="Calibri"/>
                <w:color w:val="000000"/>
              </w:rPr>
              <w:t>Neck Pain</w:t>
            </w:r>
          </w:p>
        </w:tc>
        <w:tc>
          <w:tcPr>
            <w:tcW w:w="1190" w:type="dxa"/>
            <w:tcBorders>
              <w:top w:val="nil"/>
              <w:left w:val="nil"/>
              <w:bottom w:val="single" w:sz="4" w:space="0" w:color="auto"/>
              <w:right w:val="single" w:sz="8" w:space="0" w:color="auto"/>
            </w:tcBorders>
            <w:shd w:val="clear" w:color="auto" w:fill="auto"/>
            <w:noWrap/>
            <w:vAlign w:val="center"/>
            <w:hideMark/>
          </w:tcPr>
          <w:p w14:paraId="53EFF27A" w14:textId="77777777" w:rsidR="0092444C" w:rsidRDefault="0092444C">
            <w:pPr>
              <w:jc w:val="center"/>
              <w:rPr>
                <w:rFonts w:ascii="Calibri" w:hAnsi="Calibri"/>
                <w:color w:val="000000"/>
              </w:rPr>
            </w:pPr>
            <w:r>
              <w:rPr>
                <w:rFonts w:ascii="Calibri" w:hAnsi="Calibri"/>
                <w:color w:val="000000"/>
              </w:rPr>
              <w:t>1.1</w:t>
            </w:r>
          </w:p>
        </w:tc>
      </w:tr>
      <w:tr w:rsidR="0092444C" w14:paraId="7113D581" w14:textId="77777777" w:rsidTr="0092444C">
        <w:trPr>
          <w:trHeight w:val="321"/>
          <w:jc w:val="center"/>
        </w:trPr>
        <w:tc>
          <w:tcPr>
            <w:tcW w:w="2591" w:type="dxa"/>
            <w:tcBorders>
              <w:top w:val="nil"/>
              <w:left w:val="single" w:sz="8" w:space="0" w:color="auto"/>
              <w:bottom w:val="single" w:sz="4" w:space="0" w:color="auto"/>
              <w:right w:val="single" w:sz="4" w:space="0" w:color="auto"/>
            </w:tcBorders>
            <w:shd w:val="clear" w:color="auto" w:fill="auto"/>
            <w:noWrap/>
            <w:vAlign w:val="center"/>
            <w:hideMark/>
          </w:tcPr>
          <w:p w14:paraId="318B5AE7" w14:textId="77777777" w:rsidR="0092444C" w:rsidRDefault="0092444C">
            <w:pPr>
              <w:jc w:val="center"/>
              <w:rPr>
                <w:rFonts w:ascii="Calibri" w:hAnsi="Calibri"/>
                <w:color w:val="000000"/>
              </w:rPr>
            </w:pPr>
            <w:r>
              <w:rPr>
                <w:rFonts w:ascii="Calibri" w:hAnsi="Calibri"/>
                <w:color w:val="000000"/>
              </w:rPr>
              <w:t>Hypotension</w:t>
            </w:r>
          </w:p>
        </w:tc>
        <w:tc>
          <w:tcPr>
            <w:tcW w:w="1190" w:type="dxa"/>
            <w:tcBorders>
              <w:top w:val="nil"/>
              <w:left w:val="nil"/>
              <w:bottom w:val="single" w:sz="4" w:space="0" w:color="auto"/>
              <w:right w:val="single" w:sz="8" w:space="0" w:color="auto"/>
            </w:tcBorders>
            <w:shd w:val="clear" w:color="auto" w:fill="auto"/>
            <w:noWrap/>
            <w:vAlign w:val="center"/>
            <w:hideMark/>
          </w:tcPr>
          <w:p w14:paraId="4A2B100E" w14:textId="77777777" w:rsidR="0092444C" w:rsidRDefault="0092444C">
            <w:pPr>
              <w:jc w:val="center"/>
              <w:rPr>
                <w:rFonts w:ascii="Calibri" w:hAnsi="Calibri"/>
                <w:color w:val="000000"/>
              </w:rPr>
            </w:pPr>
            <w:r>
              <w:rPr>
                <w:rFonts w:ascii="Calibri" w:hAnsi="Calibri"/>
                <w:color w:val="000000"/>
              </w:rPr>
              <w:t>1.1</w:t>
            </w:r>
          </w:p>
        </w:tc>
      </w:tr>
      <w:tr w:rsidR="0092444C" w14:paraId="7323A441" w14:textId="77777777" w:rsidTr="0092444C">
        <w:trPr>
          <w:trHeight w:val="1465"/>
          <w:jc w:val="center"/>
        </w:trPr>
        <w:tc>
          <w:tcPr>
            <w:tcW w:w="2591" w:type="dxa"/>
            <w:tcBorders>
              <w:top w:val="nil"/>
              <w:left w:val="single" w:sz="8" w:space="0" w:color="auto"/>
              <w:bottom w:val="single" w:sz="8" w:space="0" w:color="auto"/>
              <w:right w:val="single" w:sz="4" w:space="0" w:color="auto"/>
            </w:tcBorders>
            <w:shd w:val="clear" w:color="auto" w:fill="auto"/>
            <w:vAlign w:val="center"/>
            <w:hideMark/>
          </w:tcPr>
          <w:p w14:paraId="20F2AFB3" w14:textId="10787D35" w:rsidR="0092444C" w:rsidRDefault="0092444C">
            <w:pPr>
              <w:jc w:val="center"/>
              <w:rPr>
                <w:rFonts w:ascii="Calibri" w:hAnsi="Calibri"/>
                <w:color w:val="000000"/>
              </w:rPr>
            </w:pPr>
            <w:r>
              <w:rPr>
                <w:rFonts w:ascii="Calibri" w:hAnsi="Calibri"/>
                <w:color w:val="000000"/>
              </w:rPr>
              <w:t>Serious reactions (</w:t>
            </w:r>
            <w:r w:rsidR="006D5A0F">
              <w:rPr>
                <w:rFonts w:ascii="Calibri" w:hAnsi="Calibri"/>
                <w:color w:val="000000"/>
              </w:rPr>
              <w:t>reported later in the literature but not the</w:t>
            </w:r>
            <w:r w:rsidR="003B2AD9">
              <w:rPr>
                <w:rFonts w:ascii="Calibri" w:hAnsi="Calibri"/>
                <w:color w:val="000000"/>
              </w:rPr>
              <w:t xml:space="preserve"> </w:t>
            </w:r>
            <w:r w:rsidR="006D5A0F">
              <w:rPr>
                <w:rFonts w:ascii="Calibri" w:hAnsi="Calibri"/>
                <w:color w:val="000000"/>
              </w:rPr>
              <w:t xml:space="preserve">clinical </w:t>
            </w:r>
            <w:r>
              <w:rPr>
                <w:rFonts w:ascii="Calibri" w:hAnsi="Calibri"/>
                <w:color w:val="000000"/>
              </w:rPr>
              <w:t>study)</w:t>
            </w:r>
            <w:r w:rsidR="006D5A0F">
              <w:rPr>
                <w:rFonts w:ascii="Calibri" w:hAnsi="Calibri"/>
                <w:color w:val="000000"/>
              </w:rPr>
              <w:t>:</w:t>
            </w:r>
            <w:r>
              <w:rPr>
                <w:rFonts w:ascii="Calibri" w:hAnsi="Calibri"/>
                <w:color w:val="000000"/>
              </w:rPr>
              <w:t xml:space="preserve"> seizure, meningoencephalitis, cerebral edema, </w:t>
            </w:r>
            <w:r w:rsidRPr="0092444C">
              <w:rPr>
                <w:rFonts w:ascii="Calibri" w:hAnsi="Calibri"/>
                <w:i/>
                <w:iCs/>
                <w:color w:val="000000"/>
              </w:rPr>
              <w:t>etc</w:t>
            </w:r>
          </w:p>
        </w:tc>
        <w:tc>
          <w:tcPr>
            <w:tcW w:w="1190" w:type="dxa"/>
            <w:tcBorders>
              <w:top w:val="nil"/>
              <w:left w:val="nil"/>
              <w:bottom w:val="single" w:sz="8" w:space="0" w:color="auto"/>
              <w:right w:val="single" w:sz="8" w:space="0" w:color="auto"/>
            </w:tcBorders>
            <w:shd w:val="clear" w:color="auto" w:fill="auto"/>
            <w:noWrap/>
            <w:vAlign w:val="center"/>
            <w:hideMark/>
          </w:tcPr>
          <w:p w14:paraId="194B26FE" w14:textId="77777777" w:rsidR="0092444C" w:rsidRDefault="0092444C">
            <w:pPr>
              <w:jc w:val="center"/>
              <w:rPr>
                <w:rFonts w:ascii="Calibri" w:hAnsi="Calibri"/>
                <w:color w:val="000000"/>
              </w:rPr>
            </w:pPr>
            <w:r>
              <w:rPr>
                <w:rFonts w:ascii="Calibri" w:hAnsi="Calibri"/>
                <w:color w:val="000000"/>
              </w:rPr>
              <w:t>&lt;&lt;1</w:t>
            </w:r>
          </w:p>
        </w:tc>
      </w:tr>
    </w:tbl>
    <w:p w14:paraId="3B8482C1" w14:textId="1CBAD902" w:rsidR="0092444C" w:rsidRDefault="0092444C">
      <w:pPr>
        <w:rPr>
          <w:rFonts w:asciiTheme="minorHAnsi" w:hAnsiTheme="minorHAnsi"/>
        </w:rPr>
      </w:pPr>
    </w:p>
    <w:p w14:paraId="4723F1C0" w14:textId="48FE37CA" w:rsidR="0092444C" w:rsidRDefault="0092444C">
      <w:pPr>
        <w:rPr>
          <w:rFonts w:asciiTheme="minorHAnsi" w:hAnsiTheme="minorHAnsi"/>
        </w:rPr>
      </w:pPr>
    </w:p>
    <w:p w14:paraId="5BAF2B3B" w14:textId="6A1A5105" w:rsidR="0092444C" w:rsidRDefault="0092444C">
      <w:pPr>
        <w:rPr>
          <w:rFonts w:asciiTheme="minorHAnsi" w:hAnsiTheme="minorHAnsi"/>
        </w:rPr>
      </w:pPr>
    </w:p>
    <w:p w14:paraId="5EE9A4BA" w14:textId="77777777" w:rsidR="00EC681C" w:rsidRPr="00EC681C" w:rsidRDefault="00EC681C" w:rsidP="00EC681C">
      <w:pPr>
        <w:rPr>
          <w:rFonts w:asciiTheme="minorHAnsi" w:hAnsiTheme="minorHAnsi"/>
        </w:rPr>
      </w:pPr>
      <w:r w:rsidRPr="00EC681C">
        <w:rPr>
          <w:rFonts w:asciiTheme="minorHAnsi" w:hAnsiTheme="minorHAnsi"/>
          <w:color w:val="333333"/>
          <w:spacing w:val="2"/>
          <w:shd w:val="clear" w:color="auto" w:fill="FFFFFF"/>
        </w:rPr>
        <w:t>The most frequently reported adverse reactions following intrathecal administration of iopamidol are headache, nausea, vomiting, and musculoskeletal pain. These reactions usually occur 1 to 10 hours after injection, almost all occurring within 24 hours. They are usually mild to moderate in degree, lasting for a few hours and usually disappearing within 24 hours. Rarely, headaches may be severe or persist for days. Headache is often accompanied by nausea and vomiting, and tends to be more frequent and persistent in patients not optimally hydrated.</w:t>
      </w:r>
    </w:p>
    <w:p w14:paraId="414CDCBC" w14:textId="77777777" w:rsidR="006D5A0F" w:rsidRDefault="006D5A0F" w:rsidP="006B0949">
      <w:pPr>
        <w:rPr>
          <w:rFonts w:asciiTheme="minorHAnsi" w:hAnsiTheme="minorHAnsi"/>
        </w:rPr>
      </w:pPr>
    </w:p>
    <w:p w14:paraId="3161DDEC" w14:textId="77777777" w:rsidR="00825D01" w:rsidRDefault="00825D01" w:rsidP="0092444C">
      <w:pPr>
        <w:jc w:val="center"/>
        <w:rPr>
          <w:rFonts w:ascii="Calibri" w:hAnsi="Calibri"/>
          <w:color w:val="000000"/>
          <w:sz w:val="28"/>
          <w:szCs w:val="28"/>
        </w:rPr>
      </w:pPr>
    </w:p>
    <w:p w14:paraId="56DD7F75" w14:textId="3645DDFC" w:rsidR="0092444C" w:rsidRPr="0092444C" w:rsidRDefault="0092444C" w:rsidP="0092444C">
      <w:pPr>
        <w:jc w:val="center"/>
        <w:rPr>
          <w:rFonts w:asciiTheme="minorHAnsi" w:hAnsiTheme="minorHAnsi"/>
        </w:rPr>
      </w:pPr>
      <w:r w:rsidRPr="0092444C">
        <w:rPr>
          <w:rFonts w:ascii="Calibri" w:hAnsi="Calibri"/>
          <w:color w:val="000000"/>
          <w:sz w:val="28"/>
          <w:szCs w:val="28"/>
        </w:rPr>
        <w:lastRenderedPageBreak/>
        <w:t>Omnipaque Adverse Reactions</w:t>
      </w:r>
    </w:p>
    <w:p w14:paraId="7F1A836D" w14:textId="6421EAF6" w:rsidR="006D18EA" w:rsidRDefault="0092444C" w:rsidP="0092444C">
      <w:pPr>
        <w:jc w:val="center"/>
        <w:rPr>
          <w:rFonts w:asciiTheme="minorHAnsi" w:hAnsiTheme="minorHAnsi"/>
        </w:rPr>
      </w:pPr>
      <w:r>
        <w:rPr>
          <w:rFonts w:asciiTheme="minorHAnsi" w:hAnsiTheme="minorHAnsi"/>
          <w:noProof/>
        </w:rPr>
        <w:drawing>
          <wp:inline distT="0" distB="0" distL="0" distR="0" wp14:anchorId="38924778" wp14:editId="67750213">
            <wp:extent cx="4695825" cy="7743531"/>
            <wp:effectExtent l="0" t="0" r="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717739" cy="7779668"/>
                    </a:xfrm>
                    <a:prstGeom prst="rect">
                      <a:avLst/>
                    </a:prstGeom>
                  </pic:spPr>
                </pic:pic>
              </a:graphicData>
            </a:graphic>
          </wp:inline>
        </w:drawing>
      </w:r>
    </w:p>
    <w:p w14:paraId="043FC4AD" w14:textId="180A73FD" w:rsidR="0092444C" w:rsidRDefault="0092444C">
      <w:pPr>
        <w:rPr>
          <w:rFonts w:asciiTheme="minorHAnsi" w:hAnsiTheme="minorHAnsi"/>
        </w:rPr>
      </w:pPr>
    </w:p>
    <w:p w14:paraId="4C63E67B" w14:textId="1D62FB0E" w:rsidR="006D18EA" w:rsidRPr="0092444C" w:rsidRDefault="00FB3375">
      <w:pPr>
        <w:rPr>
          <w:rFonts w:asciiTheme="minorHAnsi" w:hAnsiTheme="minorHAnsi"/>
          <w:sz w:val="28"/>
          <w:szCs w:val="28"/>
        </w:rPr>
      </w:pPr>
      <w:r>
        <w:rPr>
          <w:rFonts w:asciiTheme="minorHAnsi" w:hAnsiTheme="minorHAnsi"/>
          <w:sz w:val="28"/>
          <w:szCs w:val="28"/>
        </w:rPr>
        <w:lastRenderedPageBreak/>
        <w:t xml:space="preserve">Sample </w:t>
      </w:r>
      <w:r w:rsidR="0092444C" w:rsidRPr="0092444C">
        <w:rPr>
          <w:rFonts w:asciiTheme="minorHAnsi" w:hAnsiTheme="minorHAnsi"/>
          <w:sz w:val="28"/>
          <w:szCs w:val="28"/>
        </w:rPr>
        <w:t>Consent</w:t>
      </w:r>
    </w:p>
    <w:p w14:paraId="082A51FA" w14:textId="1521C124" w:rsidR="0092444C" w:rsidRDefault="0090210E">
      <w:pPr>
        <w:rPr>
          <w:rFonts w:asciiTheme="minorHAnsi" w:hAnsiTheme="minorHAnsi"/>
        </w:rPr>
      </w:pPr>
      <w:r>
        <w:rPr>
          <w:rFonts w:asciiTheme="minorHAnsi" w:hAnsiTheme="minorHAnsi"/>
        </w:rPr>
        <w:t xml:space="preserve">This is a minor procedure with benefits and risks. </w:t>
      </w:r>
      <w:r w:rsidR="00FB3375">
        <w:rPr>
          <w:rFonts w:asciiTheme="minorHAnsi" w:hAnsiTheme="minorHAnsi"/>
        </w:rPr>
        <w:t>T</w:t>
      </w:r>
      <w:r>
        <w:rPr>
          <w:rFonts w:asciiTheme="minorHAnsi" w:hAnsiTheme="minorHAnsi"/>
        </w:rPr>
        <w:t xml:space="preserve">his procedure </w:t>
      </w:r>
      <w:r w:rsidR="00FB3375">
        <w:rPr>
          <w:rFonts w:asciiTheme="minorHAnsi" w:hAnsiTheme="minorHAnsi"/>
        </w:rPr>
        <w:t>will</w:t>
      </w:r>
      <w:r>
        <w:rPr>
          <w:rFonts w:asciiTheme="minorHAnsi" w:hAnsiTheme="minorHAnsi"/>
        </w:rPr>
        <w:t xml:space="preserve"> benefit you</w:t>
      </w:r>
      <w:r w:rsidR="00FB3375">
        <w:rPr>
          <w:rFonts w:asciiTheme="minorHAnsi" w:hAnsiTheme="minorHAnsi"/>
        </w:rPr>
        <w:t xml:space="preserve"> by</w:t>
      </w:r>
      <w:r>
        <w:rPr>
          <w:rFonts w:asciiTheme="minorHAnsi" w:hAnsiTheme="minorHAnsi"/>
        </w:rPr>
        <w:t xml:space="preserve"> either finding an underlying cause for your current symptoms or </w:t>
      </w:r>
      <w:r w:rsidR="00FB3375">
        <w:rPr>
          <w:rFonts w:asciiTheme="minorHAnsi" w:hAnsiTheme="minorHAnsi"/>
        </w:rPr>
        <w:t>by</w:t>
      </w:r>
      <w:r>
        <w:rPr>
          <w:rFonts w:asciiTheme="minorHAnsi" w:hAnsiTheme="minorHAnsi"/>
        </w:rPr>
        <w:t xml:space="preserve"> evaluat</w:t>
      </w:r>
      <w:r w:rsidR="00FB3375">
        <w:rPr>
          <w:rFonts w:asciiTheme="minorHAnsi" w:hAnsiTheme="minorHAnsi"/>
        </w:rPr>
        <w:t>ing</w:t>
      </w:r>
      <w:r>
        <w:rPr>
          <w:rFonts w:asciiTheme="minorHAnsi" w:hAnsiTheme="minorHAnsi"/>
        </w:rPr>
        <w:t xml:space="preserve"> your current medical state. </w:t>
      </w:r>
      <w:r w:rsidR="00FB3375">
        <w:rPr>
          <w:rFonts w:asciiTheme="minorHAnsi" w:hAnsiTheme="minorHAnsi"/>
        </w:rPr>
        <w:t>85</w:t>
      </w:r>
      <w:r w:rsidR="00437830">
        <w:rPr>
          <w:rFonts w:asciiTheme="minorHAnsi" w:hAnsiTheme="minorHAnsi"/>
        </w:rPr>
        <w:t xml:space="preserve"> to </w:t>
      </w:r>
      <w:r w:rsidR="00FB3375">
        <w:rPr>
          <w:rFonts w:asciiTheme="minorHAnsi" w:hAnsiTheme="minorHAnsi"/>
        </w:rPr>
        <w:t>90%</w:t>
      </w:r>
      <w:r w:rsidR="00437830">
        <w:rPr>
          <w:rFonts w:asciiTheme="minorHAnsi" w:hAnsiTheme="minorHAnsi"/>
        </w:rPr>
        <w:t xml:space="preserve"> </w:t>
      </w:r>
      <w:r w:rsidR="00FB3375">
        <w:rPr>
          <w:rFonts w:asciiTheme="minorHAnsi" w:hAnsiTheme="minorHAnsi"/>
        </w:rPr>
        <w:t>people who have this procedure experience no adverse side-effects. The most common potential side-effect</w:t>
      </w:r>
      <w:r w:rsidR="00437830">
        <w:rPr>
          <w:rFonts w:asciiTheme="minorHAnsi" w:hAnsiTheme="minorHAnsi"/>
        </w:rPr>
        <w:t>s (such as</w:t>
      </w:r>
      <w:r w:rsidR="00FB3375">
        <w:rPr>
          <w:rFonts w:asciiTheme="minorHAnsi" w:hAnsiTheme="minorHAnsi"/>
        </w:rPr>
        <w:t xml:space="preserve"> headache</w:t>
      </w:r>
      <w:r w:rsidR="00437830">
        <w:rPr>
          <w:rFonts w:asciiTheme="minorHAnsi" w:hAnsiTheme="minorHAnsi"/>
        </w:rPr>
        <w:t>) are</w:t>
      </w:r>
      <w:r w:rsidR="00FB3375">
        <w:rPr>
          <w:rFonts w:asciiTheme="minorHAnsi" w:hAnsiTheme="minorHAnsi"/>
        </w:rPr>
        <w:t xml:space="preserve"> the least serious. The most serious potential side-effects </w:t>
      </w:r>
      <w:r w:rsidR="00437830">
        <w:rPr>
          <w:rFonts w:asciiTheme="minorHAnsi" w:hAnsiTheme="minorHAnsi"/>
        </w:rPr>
        <w:t>(</w:t>
      </w:r>
      <w:r w:rsidR="00FB3375">
        <w:rPr>
          <w:rFonts w:asciiTheme="minorHAnsi" w:hAnsiTheme="minorHAnsi"/>
        </w:rPr>
        <w:t xml:space="preserve">such as </w:t>
      </w:r>
      <w:r w:rsidR="00F60F57">
        <w:rPr>
          <w:rFonts w:asciiTheme="minorHAnsi" w:hAnsiTheme="minorHAnsi"/>
        </w:rPr>
        <w:t xml:space="preserve">infection, bleeding, </w:t>
      </w:r>
      <w:r w:rsidR="00FB3375">
        <w:rPr>
          <w:rFonts w:asciiTheme="minorHAnsi" w:hAnsiTheme="minorHAnsi"/>
        </w:rPr>
        <w:t xml:space="preserve">seizure, </w:t>
      </w:r>
      <w:r w:rsidR="00A971AB">
        <w:rPr>
          <w:rFonts w:asciiTheme="minorHAnsi" w:hAnsiTheme="minorHAnsi"/>
        </w:rPr>
        <w:t>nerve injury</w:t>
      </w:r>
      <w:r w:rsidR="00437830">
        <w:rPr>
          <w:rFonts w:asciiTheme="minorHAnsi" w:hAnsiTheme="minorHAnsi"/>
        </w:rPr>
        <w:t>)</w:t>
      </w:r>
      <w:r w:rsidR="00FB3375">
        <w:rPr>
          <w:rFonts w:asciiTheme="minorHAnsi" w:hAnsiTheme="minorHAnsi"/>
        </w:rPr>
        <w:t xml:space="preserve"> happen very rarely.</w:t>
      </w:r>
      <w:r w:rsidR="00437830">
        <w:rPr>
          <w:rFonts w:asciiTheme="minorHAnsi" w:hAnsiTheme="minorHAnsi"/>
        </w:rPr>
        <w:t xml:space="preserve"> Do you consent to have this procedure?</w:t>
      </w:r>
    </w:p>
    <w:p w14:paraId="028A57C2" w14:textId="04A59757" w:rsidR="0092444C" w:rsidRDefault="0092444C">
      <w:pPr>
        <w:rPr>
          <w:rFonts w:asciiTheme="minorHAnsi" w:hAnsiTheme="minorHAnsi"/>
        </w:rPr>
      </w:pPr>
    </w:p>
    <w:p w14:paraId="5FABA26B" w14:textId="5682DD74" w:rsidR="005F11DA" w:rsidRDefault="005F11DA">
      <w:pPr>
        <w:rPr>
          <w:rFonts w:asciiTheme="minorHAnsi" w:hAnsiTheme="minorHAnsi"/>
        </w:rPr>
      </w:pPr>
    </w:p>
    <w:p w14:paraId="75768B45" w14:textId="77777777" w:rsidR="005F11DA" w:rsidRPr="005468FB" w:rsidRDefault="005F11DA">
      <w:pPr>
        <w:rPr>
          <w:rFonts w:asciiTheme="minorHAnsi" w:hAnsiTheme="minorHAnsi"/>
        </w:rPr>
      </w:pPr>
    </w:p>
    <w:p w14:paraId="56D2155F" w14:textId="2AED427E" w:rsidR="000B490B" w:rsidRPr="005468FB" w:rsidRDefault="00D5201F">
      <w:pPr>
        <w:rPr>
          <w:rFonts w:asciiTheme="minorHAnsi" w:hAnsiTheme="minorHAnsi"/>
          <w:sz w:val="28"/>
          <w:szCs w:val="28"/>
        </w:rPr>
      </w:pPr>
      <w:r w:rsidRPr="005468FB">
        <w:rPr>
          <w:rFonts w:asciiTheme="minorHAnsi" w:hAnsiTheme="minorHAnsi"/>
          <w:sz w:val="28"/>
          <w:szCs w:val="28"/>
        </w:rPr>
        <w:t>References</w:t>
      </w:r>
    </w:p>
    <w:p w14:paraId="6B1CAC78" w14:textId="77777777" w:rsidR="005468FB" w:rsidRPr="005468FB" w:rsidRDefault="005468FB">
      <w:pPr>
        <w:rPr>
          <w:rFonts w:asciiTheme="minorHAnsi" w:hAnsiTheme="minorHAnsi"/>
          <w:sz w:val="28"/>
          <w:szCs w:val="28"/>
        </w:rPr>
      </w:pPr>
    </w:p>
    <w:p w14:paraId="50E50252" w14:textId="77777777" w:rsidR="000C15F2" w:rsidRPr="00FB3375" w:rsidRDefault="000C15F2" w:rsidP="000C15F2">
      <w:pPr>
        <w:pStyle w:val="ListParagraph"/>
        <w:numPr>
          <w:ilvl w:val="0"/>
          <w:numId w:val="2"/>
        </w:numPr>
        <w:rPr>
          <w:rFonts w:asciiTheme="minorHAnsi" w:hAnsiTheme="minorHAnsi"/>
        </w:rPr>
      </w:pPr>
      <w:r w:rsidRPr="005468FB">
        <w:rPr>
          <w:rFonts w:asciiTheme="minorHAnsi" w:hAnsiTheme="minorHAnsi"/>
        </w:rPr>
        <w:t xml:space="preserve">ACR–ASNR–SPR </w:t>
      </w:r>
      <w:r w:rsidRPr="00FB3375">
        <w:rPr>
          <w:rFonts w:asciiTheme="minorHAnsi" w:hAnsiTheme="minorHAnsi"/>
        </w:rPr>
        <w:t xml:space="preserve">Practice Parameter for the performance of myelography and cisternography. Revised 2019. </w:t>
      </w:r>
    </w:p>
    <w:p w14:paraId="2ED7BA6F" w14:textId="535861E7" w:rsidR="006C7C85" w:rsidRPr="00FB3375" w:rsidRDefault="00805B06" w:rsidP="000C15F2">
      <w:pPr>
        <w:ind w:left="360"/>
        <w:rPr>
          <w:rFonts w:asciiTheme="minorHAnsi" w:hAnsiTheme="minorHAnsi"/>
        </w:rPr>
      </w:pPr>
      <w:r w:rsidRPr="00FB3375">
        <w:rPr>
          <w:rFonts w:asciiTheme="minorHAnsi" w:hAnsiTheme="minorHAnsi"/>
        </w:rPr>
        <w:t>https://www.acr.org/-/media/ACR/Files/Practice-Parameters/myelog-cisternog.pdf</w:t>
      </w:r>
    </w:p>
    <w:p w14:paraId="51924A19" w14:textId="4667CF4F" w:rsidR="00805B06" w:rsidRPr="00FB3375" w:rsidRDefault="00805B06" w:rsidP="000C15F2">
      <w:pPr>
        <w:ind w:left="360"/>
        <w:rPr>
          <w:rFonts w:asciiTheme="minorHAnsi" w:hAnsiTheme="minorHAnsi"/>
        </w:rPr>
      </w:pPr>
    </w:p>
    <w:p w14:paraId="152FCAA6" w14:textId="42C216B0" w:rsidR="00805B06" w:rsidRPr="00FB3375" w:rsidRDefault="00805B06" w:rsidP="00805B06">
      <w:pPr>
        <w:pStyle w:val="ListParagraph"/>
        <w:numPr>
          <w:ilvl w:val="0"/>
          <w:numId w:val="2"/>
        </w:numPr>
        <w:shd w:val="clear" w:color="auto" w:fill="FFFFFF"/>
        <w:textAlignment w:val="baseline"/>
        <w:rPr>
          <w:rFonts w:asciiTheme="minorHAnsi" w:hAnsiTheme="minorHAnsi" w:cs="Segoe UI"/>
          <w:color w:val="201F1E"/>
        </w:rPr>
      </w:pPr>
      <w:r w:rsidRPr="00FB3375">
        <w:rPr>
          <w:rFonts w:asciiTheme="minorHAnsi" w:hAnsiTheme="minorHAnsi" w:cs="Segoe UI"/>
          <w:color w:val="201F1E"/>
        </w:rPr>
        <w:t xml:space="preserve">It Is Not Necessary to Discontinue Seizure Threshold–Lowering Medications Prior to Myelography. </w:t>
      </w:r>
      <w:r w:rsidR="006E173C" w:rsidRPr="00FB3375">
        <w:rPr>
          <w:rFonts w:asciiTheme="minorHAnsi" w:hAnsiTheme="minorHAnsi" w:cs="Segoe UI"/>
          <w:color w:val="201F1E"/>
        </w:rPr>
        <w:t xml:space="preserve">Krupa </w:t>
      </w:r>
      <w:r w:rsidR="006E173C" w:rsidRPr="00FB3375">
        <w:rPr>
          <w:rFonts w:asciiTheme="minorHAnsi" w:hAnsiTheme="minorHAnsi" w:cs="Segoe UI"/>
          <w:i/>
          <w:iCs/>
          <w:color w:val="201F1E"/>
        </w:rPr>
        <w:t>et al</w:t>
      </w:r>
      <w:r w:rsidR="006E173C" w:rsidRPr="00FB3375">
        <w:rPr>
          <w:rFonts w:asciiTheme="minorHAnsi" w:hAnsiTheme="minorHAnsi" w:cs="Segoe UI"/>
          <w:color w:val="201F1E"/>
        </w:rPr>
        <w:t>. AJNR 2019 May; 40(5): 916–919. PMID: 30948376</w:t>
      </w:r>
      <w:r w:rsidR="000D4CB3" w:rsidRPr="00FB3375">
        <w:rPr>
          <w:rFonts w:asciiTheme="minorHAnsi" w:hAnsiTheme="minorHAnsi" w:cs="Segoe UI"/>
          <w:color w:val="201F1E"/>
        </w:rPr>
        <w:t>.</w:t>
      </w:r>
      <w:r w:rsidR="005468FB" w:rsidRPr="00FB3375">
        <w:rPr>
          <w:rFonts w:asciiTheme="minorHAnsi" w:hAnsiTheme="minorHAnsi" w:cs="Segoe UI"/>
          <w:color w:val="201F1E"/>
        </w:rPr>
        <w:tab/>
      </w:r>
      <w:r w:rsidRPr="00FB3375">
        <w:rPr>
          <w:rFonts w:asciiTheme="minorHAnsi" w:hAnsiTheme="minorHAnsi" w:cs="Segoe UI"/>
          <w:color w:val="201F1E"/>
        </w:rPr>
        <w:t>https://www.ncbi.nlm.nih.gov/pmc/articles/PMC7053908/pdf/zj4916.pdf</w:t>
      </w:r>
    </w:p>
    <w:p w14:paraId="657E11A7" w14:textId="77777777" w:rsidR="00805B06" w:rsidRPr="00FB3375" w:rsidRDefault="00805B06" w:rsidP="00805B06">
      <w:pPr>
        <w:shd w:val="clear" w:color="auto" w:fill="FFFFFF"/>
        <w:textAlignment w:val="baseline"/>
        <w:rPr>
          <w:rFonts w:asciiTheme="minorHAnsi" w:hAnsiTheme="minorHAnsi" w:cs="Segoe UI"/>
          <w:color w:val="201F1E"/>
        </w:rPr>
      </w:pPr>
    </w:p>
    <w:p w14:paraId="30781B38" w14:textId="3D823889" w:rsidR="00805B06" w:rsidRPr="00FB3375" w:rsidRDefault="00805B06" w:rsidP="00805B06">
      <w:pPr>
        <w:pStyle w:val="ListParagraph"/>
        <w:numPr>
          <w:ilvl w:val="0"/>
          <w:numId w:val="2"/>
        </w:numPr>
        <w:shd w:val="clear" w:color="auto" w:fill="FFFFFF"/>
        <w:textAlignment w:val="baseline"/>
        <w:rPr>
          <w:rFonts w:asciiTheme="minorHAnsi" w:hAnsiTheme="minorHAnsi" w:cs="Segoe UI"/>
          <w:color w:val="201F1E"/>
        </w:rPr>
      </w:pPr>
      <w:r w:rsidRPr="00FB3375">
        <w:rPr>
          <w:rFonts w:asciiTheme="minorHAnsi" w:hAnsiTheme="minorHAnsi" w:cs="Segoe UI"/>
          <w:color w:val="201F1E"/>
        </w:rPr>
        <w:t xml:space="preserve">Critical Assessment of Myelography Practices: A Call for Rational Guideline Revision. </w:t>
      </w:r>
      <w:r w:rsidR="00DB09A3" w:rsidRPr="00FB3375">
        <w:rPr>
          <w:rFonts w:asciiTheme="minorHAnsi" w:hAnsiTheme="minorHAnsi" w:cs="Segoe UI"/>
          <w:color w:val="201F1E"/>
        </w:rPr>
        <w:t xml:space="preserve">Shah </w:t>
      </w:r>
      <w:r w:rsidR="00DB09A3" w:rsidRPr="00FB3375">
        <w:rPr>
          <w:rFonts w:asciiTheme="minorHAnsi" w:hAnsiTheme="minorHAnsi" w:cs="Segoe UI"/>
          <w:i/>
          <w:iCs/>
          <w:color w:val="201F1E"/>
        </w:rPr>
        <w:t>et al.</w:t>
      </w:r>
      <w:r w:rsidR="00DB09A3" w:rsidRPr="00FB3375">
        <w:rPr>
          <w:rFonts w:asciiTheme="minorHAnsi" w:hAnsiTheme="minorHAnsi" w:cs="Segoe UI"/>
          <w:color w:val="201F1E"/>
        </w:rPr>
        <w:t xml:space="preserve"> AJNR 2018 Dec;39(12):2378-2384. PMID: 30385469</w:t>
      </w:r>
      <w:r w:rsidR="000D4CB3" w:rsidRPr="00FB3375">
        <w:rPr>
          <w:rFonts w:asciiTheme="minorHAnsi" w:hAnsiTheme="minorHAnsi" w:cs="Segoe UI"/>
          <w:color w:val="201F1E"/>
        </w:rPr>
        <w:t>.</w:t>
      </w:r>
    </w:p>
    <w:p w14:paraId="0AB90E3C" w14:textId="77777777" w:rsidR="00805B06" w:rsidRPr="00FB3375" w:rsidRDefault="00805B06" w:rsidP="00805B06">
      <w:pPr>
        <w:shd w:val="clear" w:color="auto" w:fill="FFFFFF"/>
        <w:ind w:left="360"/>
        <w:textAlignment w:val="baseline"/>
        <w:rPr>
          <w:rFonts w:asciiTheme="minorHAnsi" w:hAnsiTheme="minorHAnsi" w:cs="Segoe UI"/>
          <w:color w:val="201F1E"/>
        </w:rPr>
      </w:pPr>
      <w:r w:rsidRPr="00FB3375">
        <w:rPr>
          <w:rFonts w:asciiTheme="minorHAnsi" w:hAnsiTheme="minorHAnsi" w:cs="Segoe UI"/>
          <w:color w:val="201F1E"/>
        </w:rPr>
        <w:t>http://www.ajnr.org/content/ajnr/39/12/2378.full.pdf</w:t>
      </w:r>
    </w:p>
    <w:p w14:paraId="1788EDE2" w14:textId="2F67927F" w:rsidR="00805B06" w:rsidRPr="00FB3375" w:rsidRDefault="00805B06" w:rsidP="00805B06">
      <w:pPr>
        <w:rPr>
          <w:rFonts w:asciiTheme="minorHAnsi" w:hAnsiTheme="minorHAnsi"/>
        </w:rPr>
      </w:pPr>
    </w:p>
    <w:p w14:paraId="6A1CD2C2" w14:textId="2FEEA852" w:rsidR="0092444C" w:rsidRPr="00FB3375" w:rsidRDefault="0092444C" w:rsidP="0092444C">
      <w:pPr>
        <w:pStyle w:val="ListParagraph"/>
        <w:numPr>
          <w:ilvl w:val="0"/>
          <w:numId w:val="2"/>
        </w:numPr>
        <w:rPr>
          <w:rFonts w:asciiTheme="minorHAnsi" w:hAnsiTheme="minorHAnsi"/>
        </w:rPr>
      </w:pPr>
      <w:r w:rsidRPr="00FB3375">
        <w:rPr>
          <w:rFonts w:asciiTheme="minorHAnsi" w:hAnsiTheme="minorHAnsi"/>
        </w:rPr>
        <w:t>Online medication Library</w:t>
      </w:r>
    </w:p>
    <w:p w14:paraId="336BD9D8" w14:textId="5097C992" w:rsidR="0092444C" w:rsidRPr="0092444C" w:rsidRDefault="0092444C" w:rsidP="0092444C">
      <w:pPr>
        <w:ind w:left="360"/>
        <w:rPr>
          <w:rFonts w:asciiTheme="minorHAnsi" w:hAnsiTheme="minorHAnsi"/>
        </w:rPr>
      </w:pPr>
      <w:r w:rsidRPr="0092444C">
        <w:rPr>
          <w:rFonts w:asciiTheme="minorHAnsi" w:hAnsiTheme="minorHAnsi"/>
        </w:rPr>
        <w:t>https://medlibrary.org/lib/rx/meds</w:t>
      </w:r>
    </w:p>
    <w:sectPr w:rsidR="0092444C" w:rsidRPr="0092444C" w:rsidSect="002F5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D5FAB"/>
    <w:multiLevelType w:val="hybridMultilevel"/>
    <w:tmpl w:val="DFB49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C72B49"/>
    <w:multiLevelType w:val="hybridMultilevel"/>
    <w:tmpl w:val="7BE47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D1564"/>
    <w:multiLevelType w:val="hybridMultilevel"/>
    <w:tmpl w:val="A594A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F608CF"/>
    <w:multiLevelType w:val="hybridMultilevel"/>
    <w:tmpl w:val="352433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C675D6"/>
    <w:multiLevelType w:val="hybridMultilevel"/>
    <w:tmpl w:val="B1326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FEE2337"/>
    <w:multiLevelType w:val="hybridMultilevel"/>
    <w:tmpl w:val="57B2C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9728FB"/>
    <w:multiLevelType w:val="hybridMultilevel"/>
    <w:tmpl w:val="BF828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554FCC"/>
    <w:multiLevelType w:val="hybridMultilevel"/>
    <w:tmpl w:val="137E1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D13707"/>
    <w:multiLevelType w:val="hybridMultilevel"/>
    <w:tmpl w:val="949A6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78576E"/>
    <w:multiLevelType w:val="hybridMultilevel"/>
    <w:tmpl w:val="71C63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4"/>
  </w:num>
  <w:num w:numId="5">
    <w:abstractNumId w:val="2"/>
  </w:num>
  <w:num w:numId="6">
    <w:abstractNumId w:val="5"/>
  </w:num>
  <w:num w:numId="7">
    <w:abstractNumId w:val="0"/>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A4"/>
    <w:rsid w:val="000115DE"/>
    <w:rsid w:val="00020AFD"/>
    <w:rsid w:val="0009182D"/>
    <w:rsid w:val="000B490B"/>
    <w:rsid w:val="000B7D9C"/>
    <w:rsid w:val="000C15F2"/>
    <w:rsid w:val="000D4CB3"/>
    <w:rsid w:val="000E59FB"/>
    <w:rsid w:val="001D08C4"/>
    <w:rsid w:val="001F7B05"/>
    <w:rsid w:val="00200EDC"/>
    <w:rsid w:val="002737F0"/>
    <w:rsid w:val="002953CC"/>
    <w:rsid w:val="002F5071"/>
    <w:rsid w:val="00324670"/>
    <w:rsid w:val="00344B71"/>
    <w:rsid w:val="00365949"/>
    <w:rsid w:val="00367822"/>
    <w:rsid w:val="003B2AD9"/>
    <w:rsid w:val="003E0DB8"/>
    <w:rsid w:val="003E7FE1"/>
    <w:rsid w:val="0041109F"/>
    <w:rsid w:val="00423EA4"/>
    <w:rsid w:val="00433504"/>
    <w:rsid w:val="00434DDB"/>
    <w:rsid w:val="00437830"/>
    <w:rsid w:val="0047684A"/>
    <w:rsid w:val="004834BE"/>
    <w:rsid w:val="00544AD8"/>
    <w:rsid w:val="005468FB"/>
    <w:rsid w:val="005F11DA"/>
    <w:rsid w:val="005F4CD4"/>
    <w:rsid w:val="006A26B7"/>
    <w:rsid w:val="006B0949"/>
    <w:rsid w:val="006C7C85"/>
    <w:rsid w:val="006D18EA"/>
    <w:rsid w:val="006D5A0F"/>
    <w:rsid w:val="006E173C"/>
    <w:rsid w:val="00717B2C"/>
    <w:rsid w:val="00735118"/>
    <w:rsid w:val="00744ABE"/>
    <w:rsid w:val="00752E27"/>
    <w:rsid w:val="007F6497"/>
    <w:rsid w:val="00805B06"/>
    <w:rsid w:val="00816B0E"/>
    <w:rsid w:val="00825D01"/>
    <w:rsid w:val="00837694"/>
    <w:rsid w:val="00874BB7"/>
    <w:rsid w:val="00882CAF"/>
    <w:rsid w:val="008C0AA0"/>
    <w:rsid w:val="008D16B7"/>
    <w:rsid w:val="0090210E"/>
    <w:rsid w:val="0092444C"/>
    <w:rsid w:val="00984309"/>
    <w:rsid w:val="00A54AFF"/>
    <w:rsid w:val="00A971AB"/>
    <w:rsid w:val="00AA6902"/>
    <w:rsid w:val="00AD4969"/>
    <w:rsid w:val="00B26A37"/>
    <w:rsid w:val="00B66405"/>
    <w:rsid w:val="00BA19F9"/>
    <w:rsid w:val="00BA4471"/>
    <w:rsid w:val="00C71DCC"/>
    <w:rsid w:val="00CC67A2"/>
    <w:rsid w:val="00CD3F5D"/>
    <w:rsid w:val="00CF6EF8"/>
    <w:rsid w:val="00D35A8D"/>
    <w:rsid w:val="00D5201F"/>
    <w:rsid w:val="00DA1D9E"/>
    <w:rsid w:val="00DB09A3"/>
    <w:rsid w:val="00DC2802"/>
    <w:rsid w:val="00DD3671"/>
    <w:rsid w:val="00E26D79"/>
    <w:rsid w:val="00E64546"/>
    <w:rsid w:val="00EC681C"/>
    <w:rsid w:val="00F26952"/>
    <w:rsid w:val="00F365F6"/>
    <w:rsid w:val="00F60F57"/>
    <w:rsid w:val="00FA1C97"/>
    <w:rsid w:val="00FB3375"/>
    <w:rsid w:val="00FC2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2DFB5"/>
  <w15:chartTrackingRefBased/>
  <w15:docId w15:val="{D2EA1B7D-9EAA-604F-827C-753220FA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44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C85"/>
    <w:pPr>
      <w:ind w:left="720"/>
      <w:contextualSpacing/>
    </w:pPr>
  </w:style>
  <w:style w:type="paragraph" w:customStyle="1" w:styleId="Default">
    <w:name w:val="Default"/>
    <w:rsid w:val="006C7C85"/>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837694"/>
    <w:rPr>
      <w:color w:val="0563C1" w:themeColor="hyperlink"/>
      <w:u w:val="single"/>
    </w:rPr>
  </w:style>
  <w:style w:type="character" w:styleId="UnresolvedMention">
    <w:name w:val="Unresolved Mention"/>
    <w:basedOn w:val="DefaultParagraphFont"/>
    <w:uiPriority w:val="99"/>
    <w:semiHidden/>
    <w:unhideWhenUsed/>
    <w:rsid w:val="00837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17793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33">
          <w:marLeft w:val="0"/>
          <w:marRight w:val="0"/>
          <w:marTop w:val="0"/>
          <w:marBottom w:val="0"/>
          <w:divBdr>
            <w:top w:val="none" w:sz="0" w:space="0" w:color="auto"/>
            <w:left w:val="none" w:sz="0" w:space="0" w:color="auto"/>
            <w:bottom w:val="none" w:sz="0" w:space="0" w:color="auto"/>
            <w:right w:val="none" w:sz="0" w:space="0" w:color="auto"/>
          </w:divBdr>
        </w:div>
        <w:div w:id="276908656">
          <w:marLeft w:val="0"/>
          <w:marRight w:val="0"/>
          <w:marTop w:val="0"/>
          <w:marBottom w:val="0"/>
          <w:divBdr>
            <w:top w:val="none" w:sz="0" w:space="0" w:color="auto"/>
            <w:left w:val="none" w:sz="0" w:space="0" w:color="auto"/>
            <w:bottom w:val="none" w:sz="0" w:space="0" w:color="auto"/>
            <w:right w:val="none" w:sz="0" w:space="0" w:color="auto"/>
          </w:divBdr>
        </w:div>
        <w:div w:id="1040082866">
          <w:marLeft w:val="0"/>
          <w:marRight w:val="0"/>
          <w:marTop w:val="0"/>
          <w:marBottom w:val="0"/>
          <w:divBdr>
            <w:top w:val="none" w:sz="0" w:space="0" w:color="auto"/>
            <w:left w:val="none" w:sz="0" w:space="0" w:color="auto"/>
            <w:bottom w:val="none" w:sz="0" w:space="0" w:color="auto"/>
            <w:right w:val="none" w:sz="0" w:space="0" w:color="auto"/>
          </w:divBdr>
        </w:div>
        <w:div w:id="780104879">
          <w:marLeft w:val="0"/>
          <w:marRight w:val="0"/>
          <w:marTop w:val="0"/>
          <w:marBottom w:val="0"/>
          <w:divBdr>
            <w:top w:val="none" w:sz="0" w:space="0" w:color="auto"/>
            <w:left w:val="none" w:sz="0" w:space="0" w:color="auto"/>
            <w:bottom w:val="none" w:sz="0" w:space="0" w:color="auto"/>
            <w:right w:val="none" w:sz="0" w:space="0" w:color="auto"/>
          </w:divBdr>
        </w:div>
      </w:divsChild>
    </w:div>
    <w:div w:id="387994469">
      <w:bodyDiv w:val="1"/>
      <w:marLeft w:val="0"/>
      <w:marRight w:val="0"/>
      <w:marTop w:val="0"/>
      <w:marBottom w:val="0"/>
      <w:divBdr>
        <w:top w:val="none" w:sz="0" w:space="0" w:color="auto"/>
        <w:left w:val="none" w:sz="0" w:space="0" w:color="auto"/>
        <w:bottom w:val="none" w:sz="0" w:space="0" w:color="auto"/>
        <w:right w:val="none" w:sz="0" w:space="0" w:color="auto"/>
      </w:divBdr>
    </w:div>
    <w:div w:id="637341623">
      <w:bodyDiv w:val="1"/>
      <w:marLeft w:val="0"/>
      <w:marRight w:val="0"/>
      <w:marTop w:val="0"/>
      <w:marBottom w:val="0"/>
      <w:divBdr>
        <w:top w:val="none" w:sz="0" w:space="0" w:color="auto"/>
        <w:left w:val="none" w:sz="0" w:space="0" w:color="auto"/>
        <w:bottom w:val="none" w:sz="0" w:space="0" w:color="auto"/>
        <w:right w:val="none" w:sz="0" w:space="0" w:color="auto"/>
      </w:divBdr>
    </w:div>
    <w:div w:id="919564360">
      <w:bodyDiv w:val="1"/>
      <w:marLeft w:val="0"/>
      <w:marRight w:val="0"/>
      <w:marTop w:val="0"/>
      <w:marBottom w:val="0"/>
      <w:divBdr>
        <w:top w:val="none" w:sz="0" w:space="0" w:color="auto"/>
        <w:left w:val="none" w:sz="0" w:space="0" w:color="auto"/>
        <w:bottom w:val="none" w:sz="0" w:space="0" w:color="auto"/>
        <w:right w:val="none" w:sz="0" w:space="0" w:color="auto"/>
      </w:divBdr>
    </w:div>
    <w:div w:id="1349871310">
      <w:bodyDiv w:val="1"/>
      <w:marLeft w:val="0"/>
      <w:marRight w:val="0"/>
      <w:marTop w:val="0"/>
      <w:marBottom w:val="0"/>
      <w:divBdr>
        <w:top w:val="none" w:sz="0" w:space="0" w:color="auto"/>
        <w:left w:val="none" w:sz="0" w:space="0" w:color="auto"/>
        <w:bottom w:val="none" w:sz="0" w:space="0" w:color="auto"/>
        <w:right w:val="none" w:sz="0" w:space="0" w:color="auto"/>
      </w:divBdr>
    </w:div>
    <w:div w:id="1453861786">
      <w:bodyDiv w:val="1"/>
      <w:marLeft w:val="0"/>
      <w:marRight w:val="0"/>
      <w:marTop w:val="0"/>
      <w:marBottom w:val="0"/>
      <w:divBdr>
        <w:top w:val="none" w:sz="0" w:space="0" w:color="auto"/>
        <w:left w:val="none" w:sz="0" w:space="0" w:color="auto"/>
        <w:bottom w:val="none" w:sz="0" w:space="0" w:color="auto"/>
        <w:right w:val="none" w:sz="0" w:space="0" w:color="auto"/>
      </w:divBdr>
    </w:div>
    <w:div w:id="1675919003">
      <w:bodyDiv w:val="1"/>
      <w:marLeft w:val="0"/>
      <w:marRight w:val="0"/>
      <w:marTop w:val="0"/>
      <w:marBottom w:val="0"/>
      <w:divBdr>
        <w:top w:val="none" w:sz="0" w:space="0" w:color="auto"/>
        <w:left w:val="none" w:sz="0" w:space="0" w:color="auto"/>
        <w:bottom w:val="none" w:sz="0" w:space="0" w:color="auto"/>
        <w:right w:val="none" w:sz="0" w:space="0" w:color="auto"/>
      </w:divBdr>
    </w:div>
    <w:div w:id="1895505962">
      <w:bodyDiv w:val="1"/>
      <w:marLeft w:val="0"/>
      <w:marRight w:val="0"/>
      <w:marTop w:val="0"/>
      <w:marBottom w:val="0"/>
      <w:divBdr>
        <w:top w:val="none" w:sz="0" w:space="0" w:color="auto"/>
        <w:left w:val="none" w:sz="0" w:space="0" w:color="auto"/>
        <w:bottom w:val="none" w:sz="0" w:space="0" w:color="auto"/>
        <w:right w:val="none" w:sz="0" w:space="0" w:color="auto"/>
      </w:divBdr>
    </w:div>
    <w:div w:id="2037848705">
      <w:bodyDiv w:val="1"/>
      <w:marLeft w:val="0"/>
      <w:marRight w:val="0"/>
      <w:marTop w:val="0"/>
      <w:marBottom w:val="0"/>
      <w:divBdr>
        <w:top w:val="none" w:sz="0" w:space="0" w:color="auto"/>
        <w:left w:val="none" w:sz="0" w:space="0" w:color="auto"/>
        <w:bottom w:val="none" w:sz="0" w:space="0" w:color="auto"/>
        <w:right w:val="none" w:sz="0" w:space="0" w:color="auto"/>
      </w:divBdr>
    </w:div>
    <w:div w:id="20571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tif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8</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Golden</dc:creator>
  <cp:keywords/>
  <dc:description/>
  <cp:lastModifiedBy>Wang, Sam</cp:lastModifiedBy>
  <cp:revision>64</cp:revision>
  <dcterms:created xsi:type="dcterms:W3CDTF">2021-01-24T18:17:00Z</dcterms:created>
  <dcterms:modified xsi:type="dcterms:W3CDTF">2021-01-27T04:55:00Z</dcterms:modified>
</cp:coreProperties>
</file>